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5"/>
      <w:bookmarkStart w:id="1" w:name="OLE_LINK1"/>
      <w:bookmarkStart w:id="2" w:name="OLE_LINK2"/>
      <w:bookmarkStart w:id="3" w:name="OLE_LINK16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108-e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2201389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February 21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March 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the PDCCH monitoring enhancements for 52.6 to 71 GHz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8.2.2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pacing w:line="260" w:lineRule="auto"/>
        <w:jc w:val="both"/>
        <w:rPr>
          <w:rFonts w:hint="eastAsia"/>
          <w:lang w:val="en-US"/>
        </w:rPr>
      </w:pPr>
      <w:bookmarkStart w:id="5" w:name="_Hlk58595024"/>
      <w:r>
        <w:rPr>
          <w:rFonts w:hint="eastAsia"/>
          <w:lang w:val="en-US"/>
        </w:rPr>
        <w:t>In the RAN1 #10</w:t>
      </w:r>
      <w:r>
        <w:rPr>
          <w:rFonts w:hint="eastAsia" w:eastAsia="宋体"/>
          <w:lang w:val="en-US" w:eastAsia="zh-CN"/>
        </w:rPr>
        <w:t>7bis</w:t>
      </w:r>
      <w:r>
        <w:rPr>
          <w:rFonts w:hint="eastAsia"/>
          <w:lang w:val="en-US"/>
        </w:rPr>
        <w:t xml:space="preserve"> e-meeting in </w:t>
      </w:r>
      <w:r>
        <w:rPr>
          <w:rFonts w:hint="eastAsia" w:eastAsia="宋体"/>
          <w:lang w:val="en-US" w:eastAsia="zh-CN"/>
        </w:rPr>
        <w:t xml:space="preserve">January </w:t>
      </w:r>
      <w:r>
        <w:rPr>
          <w:rFonts w:hint="eastAsia"/>
          <w:lang w:val="en-US"/>
        </w:rPr>
        <w:t>202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/>
        </w:rPr>
        <w:t>, the following agreement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val="en-US"/>
        </w:rPr>
        <w:t xml:space="preserve"> related to </w:t>
      </w:r>
      <w:r>
        <w:rPr>
          <w:rFonts w:hint="eastAsia" w:eastAsia="宋体"/>
          <w:lang w:val="en-US" w:eastAsia="zh-CN"/>
        </w:rPr>
        <w:t>PDCCH monitoring [1]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were </w:t>
      </w:r>
      <w:r>
        <w:rPr>
          <w:rFonts w:hint="eastAsia"/>
          <w:lang w:val="en-US"/>
        </w:rPr>
        <w:t>reached.</w:t>
      </w:r>
    </w:p>
    <w:p>
      <w:pPr>
        <w:spacing w:after="0" w:line="260" w:lineRule="auto"/>
        <w:rPr>
          <w:rFonts w:hint="eastAsia" w:ascii="Times" w:hAnsi="Times" w:eastAsia="바탕" w:cs="Times New Roman"/>
          <w:b/>
          <w:szCs w:val="24"/>
          <w:u w:val="single"/>
          <w:lang w:val="en-US"/>
        </w:rPr>
      </w:pPr>
      <w:r>
        <w:rPr>
          <w:rFonts w:ascii="Times" w:hAnsi="Times" w:eastAsia="바탕" w:cs="Times New Roman"/>
          <w:b/>
          <w:szCs w:val="24"/>
          <w:u w:val="single"/>
          <w:lang w:val="en-US"/>
        </w:rPr>
        <w:t>Conclusion</w:t>
      </w:r>
    </w:p>
    <w:p>
      <w:pPr>
        <w:spacing w:line="260" w:lineRule="auto"/>
        <w:jc w:val="both"/>
        <w:rPr>
          <w:rFonts w:ascii="Times" w:hAnsi="Times" w:eastAsia="바탕" w:cs="Times New Roman"/>
          <w:iCs/>
          <w:szCs w:val="24"/>
          <w:lang w:val="en-US"/>
        </w:rPr>
      </w:pPr>
      <w:r>
        <w:rPr>
          <w:rFonts w:ascii="Times" w:hAnsi="Times" w:eastAsia="바탕" w:cs="Times New Roman"/>
          <w:iCs/>
          <w:szCs w:val="24"/>
          <w:lang w:val="en-US"/>
        </w:rPr>
        <w:t>Single-slot PDCCH monitoring for 480 kHz and 960 kHz is not supported.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  <w:u w:val="single"/>
          <w:lang w:val="en-US"/>
        </w:rPr>
      </w:pPr>
      <w:r>
        <w:rPr>
          <w:rFonts w:ascii="Times" w:hAnsi="Times" w:eastAsia="바탕" w:cs="Times New Roman"/>
          <w:b/>
          <w:szCs w:val="24"/>
          <w:u w:val="single"/>
          <w:lang w:val="en-US"/>
        </w:rPr>
        <w:t>Conclusion</w:t>
      </w:r>
    </w:p>
    <w:p>
      <w:pPr>
        <w:spacing w:after="180" w:line="260" w:lineRule="auto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A duration of more than 3 OFDM symbols for PDCCH with 480/960 kHz SCS is not supported in Rel-17.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</w:rPr>
      </w:pPr>
      <w:r>
        <w:rPr>
          <w:rFonts w:ascii="Times" w:hAnsi="Times" w:eastAsia="바탕" w:cs="Times New Roman"/>
          <w:b/>
          <w:szCs w:val="24"/>
          <w:highlight w:val="green"/>
        </w:rPr>
        <w:t>Agreement</w:t>
      </w:r>
    </w:p>
    <w:p>
      <w:pPr>
        <w:spacing w:after="0" w:line="260" w:lineRule="auto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For search space set configuration of multi-slot PDCCH monitoring:</w:t>
      </w:r>
    </w:p>
    <w:p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720" w:hanging="360"/>
        <w:rPr>
          <w:rFonts w:ascii="Times" w:hAnsi="Times" w:eastAsia="바탕" w:cs="Times New Roman"/>
          <w:szCs w:val="24"/>
        </w:rPr>
      </w:pPr>
      <w:r>
        <w:rPr>
          <w:rFonts w:hint="eastAsia" w:ascii="Times" w:hAnsi="Times" w:eastAsia="바탕" w:cs="Times New Roman"/>
          <w:i/>
          <w:iCs/>
          <w:szCs w:val="24"/>
          <w:lang w:eastAsia="zh-CN"/>
        </w:rPr>
        <w:t>monitoringSlotPeriodicityAndOffset</w:t>
      </w:r>
      <w:r>
        <w:rPr>
          <w:rFonts w:ascii="Times" w:hAnsi="Times" w:eastAsia="바탕" w:cs="Times New Roman"/>
          <w:szCs w:val="24"/>
          <w:lang w:eastAsia="zh-CN"/>
        </w:rPr>
        <w:t xml:space="preserve"> and</w:t>
      </w:r>
      <w:r>
        <w:rPr>
          <w:rFonts w:hint="eastAsia" w:ascii="Times" w:hAnsi="Times" w:eastAsia="바탕" w:cs="Times New Roman"/>
          <w:i/>
          <w:iCs/>
          <w:szCs w:val="20"/>
          <w:lang w:eastAsia="zh-CN"/>
        </w:rPr>
        <w:t xml:space="preserve"> </w:t>
      </w:r>
      <w:r>
        <w:rPr>
          <w:rFonts w:hint="eastAsia" w:ascii="Times" w:hAnsi="Times" w:eastAsia="바탕" w:cs="Times New Roman"/>
          <w:i/>
          <w:iCs/>
          <w:szCs w:val="24"/>
          <w:lang w:eastAsia="zh-CN"/>
        </w:rPr>
        <w:t>duration</w:t>
      </w:r>
      <w:r>
        <w:rPr>
          <w:rFonts w:hint="eastAsia" w:ascii="Times" w:hAnsi="Times" w:eastAsia="바탕" w:cs="Times New Roman"/>
          <w:i/>
          <w:iCs/>
          <w:szCs w:val="20"/>
          <w:lang w:eastAsia="zh-CN"/>
        </w:rPr>
        <w:t xml:space="preserve"> </w:t>
      </w:r>
      <w:r>
        <w:rPr>
          <w:rFonts w:ascii="Times" w:hAnsi="Times" w:eastAsia="바탕" w:cs="Times New Roman"/>
          <w:szCs w:val="24"/>
        </w:rPr>
        <w:t>are appended with "-r17", and</w:t>
      </w:r>
    </w:p>
    <w:p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144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i/>
          <w:iCs/>
          <w:szCs w:val="24"/>
          <w:lang w:eastAsia="zh-CN"/>
        </w:rPr>
        <w:t xml:space="preserve">For </w:t>
      </w:r>
      <w:r>
        <w:rPr>
          <w:rFonts w:ascii="Times" w:hAnsi="Times" w:eastAsia="바탕" w:cs="Times New Roman"/>
          <w:i/>
          <w:iCs/>
          <w:szCs w:val="24"/>
        </w:rPr>
        <w:t>monitoringPeriodicityAndOffset-r17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The values represent slots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 xml:space="preserve">Add periodicity values {32,64,128,5120,10240,20480} to the existing values in </w:t>
      </w:r>
      <w:r>
        <w:rPr>
          <w:rFonts w:hint="eastAsia" w:ascii="Times" w:hAnsi="Times" w:eastAsia="바탕" w:cs="Times New Roman"/>
          <w:i/>
          <w:iCs/>
          <w:szCs w:val="24"/>
          <w:lang w:eastAsia="zh-CN"/>
        </w:rPr>
        <w:t>monitoringSlotPeriodicityAndOffset</w:t>
      </w:r>
    </w:p>
    <w:p>
      <w:pPr>
        <w:numPr>
          <w:ilvl w:val="3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88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Note: Total list of supported periodicity values: {1,2,4,5,8,10,16,20,32,40,64,80,128,160,320,640,1280,2560,5120,10240,20480}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For each periodicity value Xp</w:t>
      </w:r>
    </w:p>
    <w:p>
      <w:pPr>
        <w:numPr>
          <w:ilvl w:val="3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88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The value range for the offset O is {0 .. Xp-1} slots</w:t>
      </w:r>
    </w:p>
    <w:p>
      <w:pPr>
        <w:numPr>
          <w:ilvl w:val="3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88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Note: There may be no need to introduce the term "X</w:t>
      </w:r>
      <w:r>
        <w:rPr>
          <w:rFonts w:ascii="Times" w:hAnsi="Times" w:eastAsia="바탕" w:cs="Times New Roman"/>
          <w:szCs w:val="24"/>
          <w:vertAlign w:val="subscript"/>
        </w:rPr>
        <w:t>p</w:t>
      </w:r>
      <w:r>
        <w:rPr>
          <w:rFonts w:ascii="Times" w:hAnsi="Times" w:eastAsia="바탕" w:cs="Times New Roman"/>
          <w:szCs w:val="24"/>
        </w:rPr>
        <w:t>" in the specifications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The configured periodicity at least for Group (1) SSs is restricted to be an integer multiple of Xs slots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FFS: details of offset</w:t>
      </w:r>
    </w:p>
    <w:p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144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 xml:space="preserve">For </w:t>
      </w:r>
      <w:r>
        <w:rPr>
          <w:rFonts w:ascii="Times" w:hAnsi="Times" w:eastAsia="바탕" w:cs="Times New Roman"/>
          <w:i/>
          <w:iCs/>
          <w:color w:val="000000"/>
          <w:szCs w:val="24"/>
        </w:rPr>
        <w:t>duration-r17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>The values represent slots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>The value range is { 8, 12, …, 20476}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>The configured duration is restricted to be an integer multiple of Xs slots</w:t>
      </w:r>
      <w:r>
        <w:rPr>
          <w:rFonts w:ascii="Times" w:hAnsi="Times" w:eastAsia="바탕" w:cs="Times New Roman"/>
          <w:szCs w:val="24"/>
        </w:rPr>
        <w:t xml:space="preserve"> at least for Group (1) SSs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szCs w:val="24"/>
        </w:rPr>
        <w:t xml:space="preserve">FFS: need to revise the definition of </w:t>
      </w:r>
      <w:r>
        <w:rPr>
          <w:rFonts w:ascii="Times" w:hAnsi="Times" w:eastAsia="바탕" w:cs="Times New Roman"/>
          <w:i/>
          <w:szCs w:val="24"/>
        </w:rPr>
        <w:t>duration</w:t>
      </w:r>
    </w:p>
    <w:p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72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i/>
          <w:iCs/>
          <w:szCs w:val="24"/>
        </w:rPr>
        <w:t xml:space="preserve">monitoringSymbolsWithinSlot </w:t>
      </w:r>
      <w:r>
        <w:rPr>
          <w:rFonts w:ascii="Times" w:hAnsi="Times" w:eastAsia="바탕" w:cs="Times New Roman"/>
          <w:szCs w:val="24"/>
        </w:rPr>
        <w:t>applies to each slot in a slot group configured for multi-slot PDCCH monitoring</w:t>
      </w:r>
    </w:p>
    <w:p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1440" w:hanging="360"/>
        <w:rPr>
          <w:rFonts w:ascii="Times" w:hAnsi="Times" w:eastAsia="바탕" w:cs="Times New Roman"/>
          <w:szCs w:val="24"/>
        </w:rPr>
      </w:pPr>
      <w:r>
        <w:rPr>
          <w:rFonts w:ascii="Times" w:hAnsi="Times" w:eastAsia="바탕" w:cs="Times New Roman"/>
          <w:szCs w:val="24"/>
        </w:rPr>
        <w:t>Note: This parameter can be directly re-used from earlier releases.</w:t>
      </w:r>
    </w:p>
    <w:p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72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 xml:space="preserve">Introduce new parameter </w:t>
      </w:r>
      <w:r>
        <w:rPr>
          <w:rFonts w:ascii="Times" w:hAnsi="Times" w:eastAsia="바탕" w:cs="Times New Roman"/>
          <w:i/>
          <w:iCs/>
          <w:color w:val="000000"/>
          <w:szCs w:val="24"/>
        </w:rPr>
        <w:t>monitoringSlotsWithinSlotGroup-r17</w:t>
      </w:r>
    </w:p>
    <w:p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144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  <w:highlight w:val="darkYellow"/>
        </w:rPr>
        <w:t>Working assumption</w:t>
      </w:r>
      <w:r>
        <w:rPr>
          <w:rFonts w:ascii="Times" w:hAnsi="Times" w:eastAsia="바탕" w:cs="Times New Roman"/>
          <w:color w:val="000000"/>
          <w:szCs w:val="24"/>
        </w:rPr>
        <w:t>: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>The size is 8 bits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 xml:space="preserve">Each bit in </w:t>
      </w:r>
      <w:r>
        <w:rPr>
          <w:rFonts w:ascii="Times" w:hAnsi="Times" w:eastAsia="바탕" w:cs="Times New Roman"/>
          <w:i/>
          <w:iCs/>
          <w:color w:val="000000"/>
          <w:szCs w:val="24"/>
        </w:rPr>
        <w:t>monitoringSlotsWithinSlotGroup-r17</w:t>
      </w:r>
      <w:r>
        <w:rPr>
          <w:rFonts w:ascii="Times" w:hAnsi="Times" w:eastAsia="바탕" w:cs="Times New Roman"/>
          <w:color w:val="000000"/>
          <w:szCs w:val="24"/>
        </w:rPr>
        <w:t xml:space="preserve"> represents a slot in a slot group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16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>A slot in the slot group is configured for multi-slot PDCCH monitoring if the corresponding bit in the slot group is set to '1'</w:t>
      </w:r>
    </w:p>
    <w:p>
      <w:pPr>
        <w:numPr>
          <w:ilvl w:val="3"/>
          <w:numId w:val="11"/>
        </w:numPr>
        <w:autoSpaceDE w:val="0"/>
        <w:autoSpaceDN w:val="0"/>
        <w:adjustRightInd w:val="0"/>
        <w:snapToGrid w:val="0"/>
        <w:spacing w:after="0" w:line="260" w:lineRule="auto"/>
        <w:ind w:left="2880" w:hanging="360"/>
        <w:rPr>
          <w:rFonts w:ascii="Times" w:hAnsi="Times" w:eastAsia="바탕" w:cs="Times New Roman"/>
          <w:color w:val="000000"/>
          <w:szCs w:val="24"/>
        </w:rPr>
      </w:pPr>
      <w:r>
        <w:rPr>
          <w:rFonts w:ascii="Times" w:hAnsi="Times" w:eastAsia="바탕" w:cs="Times New Roman"/>
          <w:color w:val="000000"/>
          <w:szCs w:val="24"/>
        </w:rPr>
        <w:t xml:space="preserve">Note: Further configuration of the monitoring symbols in such a slot is done by </w:t>
      </w:r>
      <w:r>
        <w:rPr>
          <w:rFonts w:ascii="Times" w:hAnsi="Times" w:eastAsia="바탕" w:cs="Times New Roman"/>
          <w:i/>
          <w:iCs/>
          <w:color w:val="000000"/>
          <w:szCs w:val="24"/>
        </w:rPr>
        <w:t>monitoringSymbolsWithinSlot</w:t>
      </w:r>
    </w:p>
    <w:p>
      <w:pPr>
        <w:numPr>
          <w:ilvl w:val="2"/>
          <w:numId w:val="11"/>
        </w:numPr>
        <w:autoSpaceDE w:val="0"/>
        <w:autoSpaceDN w:val="0"/>
        <w:adjustRightInd w:val="0"/>
        <w:snapToGrid w:val="0"/>
        <w:spacing w:after="180" w:line="260" w:lineRule="auto"/>
        <w:ind w:left="2160" w:hanging="360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color w:val="000000"/>
          <w:szCs w:val="24"/>
        </w:rPr>
        <w:t>The</w:t>
      </w:r>
      <w:r>
        <w:rPr>
          <w:rFonts w:hint="eastAsia" w:ascii="Times" w:hAnsi="Times" w:eastAsia="바탕" w:cs="Times New Roman"/>
          <w:color w:val="000000"/>
          <w:szCs w:val="24"/>
        </w:rPr>
        <w:t xml:space="preserve"> </w:t>
      </w:r>
      <w:r>
        <w:rPr>
          <w:rFonts w:ascii="Times" w:hAnsi="Times" w:eastAsia="바탕" w:cs="Times New Roman"/>
          <w:color w:val="000000"/>
          <w:szCs w:val="24"/>
        </w:rPr>
        <w:t>slots indicated in the bitmap should be consecutive</w:t>
      </w:r>
      <w:r>
        <w:rPr>
          <w:rFonts w:ascii="Times" w:hAnsi="Times" w:eastAsia="바탕" w:cs="Times New Roman"/>
          <w:szCs w:val="24"/>
        </w:rPr>
        <w:t xml:space="preserve"> at least for Group (1) SSs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  <w:u w:val="single"/>
          <w:lang w:val="en-US"/>
        </w:rPr>
      </w:pPr>
      <w:r>
        <w:rPr>
          <w:rFonts w:ascii="Times" w:hAnsi="Times" w:eastAsia="바탕" w:cs="Times New Roman"/>
          <w:b/>
          <w:szCs w:val="24"/>
          <w:u w:val="single"/>
          <w:lang w:val="en-US"/>
        </w:rPr>
        <w:t>Conclusion</w:t>
      </w:r>
    </w:p>
    <w:p>
      <w:pPr>
        <w:spacing w:after="180" w:line="260" w:lineRule="auto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</w:rPr>
        <w:t xml:space="preserve">Keep </w:t>
      </w:r>
      <w:r>
        <w:rPr>
          <w:rFonts w:ascii="Times" w:hAnsi="Times" w:eastAsia="바탕" w:cs="Times New Roman"/>
          <w:i/>
          <w:iCs/>
          <w:szCs w:val="24"/>
          <w:lang w:eastAsia="zh-CN"/>
        </w:rPr>
        <w:t>r17monitoringcapability</w:t>
      </w:r>
      <w:r>
        <w:rPr>
          <w:rFonts w:ascii="Times" w:hAnsi="Times" w:eastAsia="바탕" w:cs="Times New Roman"/>
          <w:szCs w:val="24"/>
          <w:lang w:eastAsia="zh-CN"/>
        </w:rPr>
        <w:t xml:space="preserve"> in 38.213, and work on the potential RAN1 spec impact at RAN1#108e.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</w:rPr>
      </w:pPr>
      <w:r>
        <w:rPr>
          <w:rFonts w:ascii="Times" w:hAnsi="Times" w:eastAsia="바탕" w:cs="Times New Roman"/>
          <w:b/>
          <w:szCs w:val="24"/>
          <w:highlight w:val="green"/>
        </w:rPr>
        <w:t>Agreement</w:t>
      </w:r>
    </w:p>
    <w:p>
      <w:pPr>
        <w:spacing w:after="0" w:line="260" w:lineRule="auto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Clarify earlier agreement as follows:</w:t>
      </w:r>
    </w:p>
    <w:p>
      <w:pPr>
        <w:numPr>
          <w:ilvl w:val="0"/>
          <w:numId w:val="12"/>
        </w:numPr>
        <w:overflowPunct w:val="0"/>
        <w:autoSpaceDE w:val="0"/>
        <w:autoSpaceDN w:val="0"/>
        <w:spacing w:after="0" w:line="260" w:lineRule="auto"/>
        <w:ind w:left="773" w:hanging="360"/>
        <w:jc w:val="both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A UE capable of multi-slot monitoring mandatorily supports monitoring Group (2) SSs according to FG 3-1 within each of the Xs slots of a slot-group, such that:</w:t>
      </w:r>
    </w:p>
    <w:p>
      <w:pPr>
        <w:numPr>
          <w:ilvl w:val="1"/>
          <w:numId w:val="12"/>
        </w:numPr>
        <w:overflowPunct w:val="0"/>
        <w:autoSpaceDE w:val="0"/>
        <w:autoSpaceDN w:val="0"/>
        <w:spacing w:after="0" w:line="260" w:lineRule="auto"/>
        <w:ind w:left="1493" w:hanging="360"/>
        <w:jc w:val="both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For type 1 CSS without dedicated RRC configuration and for type 0, 0A, and 2 CSS, the monitoring occasion can be any OFDM symbol(s) of each slot, with the monitoring occasions for any of Type 1- CSS without dedicated RRC configuration, or Types 0, 0A, or 2 CSS configurations within a single span of three consecutive OFDM symbols within each slot of the slot group.</w:t>
      </w:r>
    </w:p>
    <w:p>
      <w:pPr>
        <w:numPr>
          <w:ilvl w:val="0"/>
          <w:numId w:val="12"/>
        </w:numPr>
        <w:overflowPunct w:val="0"/>
        <w:autoSpaceDE w:val="0"/>
        <w:autoSpaceDN w:val="0"/>
        <w:spacing w:after="180" w:line="260" w:lineRule="auto"/>
        <w:ind w:left="773" w:hanging="360"/>
        <w:jc w:val="both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Continue discussion on whether or not introducing other limitation for Group (2) SSs in RAN1#108-e.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  <w:u w:val="single"/>
          <w:lang w:val="en-US"/>
        </w:rPr>
      </w:pPr>
      <w:r>
        <w:rPr>
          <w:rFonts w:ascii="Times" w:hAnsi="Times" w:eastAsia="바탕" w:cs="Times New Roman"/>
          <w:b/>
          <w:szCs w:val="24"/>
          <w:u w:val="single"/>
          <w:lang w:val="en-US"/>
        </w:rPr>
        <w:t>Conclusion</w:t>
      </w:r>
    </w:p>
    <w:p>
      <w:pPr>
        <w:spacing w:after="180" w:line="260" w:lineRule="auto"/>
        <w:rPr>
          <w:rFonts w:ascii="Times" w:hAnsi="Times" w:eastAsia="바탕" w:cs="Times New Roman"/>
          <w:szCs w:val="24"/>
          <w:lang w:val="en-US"/>
        </w:rPr>
      </w:pPr>
      <w:r>
        <w:rPr>
          <w:rFonts w:ascii="Times" w:hAnsi="Times" w:eastAsia="바탕" w:cs="Times New Roman"/>
          <w:szCs w:val="24"/>
          <w:lang w:val="en-US"/>
        </w:rPr>
        <w:t>The SSSG switching timer is in units of slots.</w:t>
      </w:r>
    </w:p>
    <w:p>
      <w:pPr>
        <w:spacing w:after="0" w:line="260" w:lineRule="auto"/>
        <w:rPr>
          <w:rFonts w:ascii="Times" w:hAnsi="Times" w:eastAsia="바탕" w:cs="Times New Roman"/>
          <w:b/>
          <w:szCs w:val="24"/>
          <w:u w:val="single"/>
          <w:lang w:val="en-US"/>
        </w:rPr>
      </w:pPr>
      <w:r>
        <w:rPr>
          <w:rFonts w:ascii="Times" w:hAnsi="Times" w:eastAsia="바탕" w:cs="Times New Roman"/>
          <w:b/>
          <w:szCs w:val="24"/>
          <w:u w:val="single"/>
          <w:lang w:val="en-US"/>
        </w:rPr>
        <w:t>Conclusion</w:t>
      </w:r>
    </w:p>
    <w:p>
      <w:pPr>
        <w:spacing w:line="260" w:lineRule="auto"/>
        <w:jc w:val="left"/>
        <w:rPr>
          <w:rFonts w:hint="eastAsia" w:ascii="Times" w:hAnsi="Times" w:eastAsia="바탕" w:cs="Times New Roman"/>
          <w:iCs/>
          <w:szCs w:val="24"/>
          <w:lang w:val="en-US"/>
        </w:rPr>
      </w:pPr>
      <w:r>
        <w:rPr>
          <w:rFonts w:ascii="Times New Roman" w:hAnsi="Times New Roman" w:eastAsia="等线" w:cs="Times New Roman"/>
          <w:szCs w:val="24"/>
        </w:rPr>
        <w:t>Potential indications of UE capability related to a limited support of cross-carrier scheduling e.g. as a function of |</w:t>
      </w:r>
      <w:r>
        <w:rPr>
          <w:rFonts w:ascii="Times New Roman" w:hAnsi="Times New Roman" w:eastAsia="等线" w:cs="Times New Roman"/>
          <w:szCs w:val="24"/>
          <w:lang w:val="de-DE"/>
        </w:rPr>
        <w:t>μ</w:t>
      </w:r>
      <w:r>
        <w:rPr>
          <w:rFonts w:ascii="Times New Roman" w:hAnsi="Times New Roman" w:eastAsia="等线" w:cs="Times New Roman"/>
          <w:szCs w:val="24"/>
        </w:rPr>
        <w:t xml:space="preserve">PDCCH − </w:t>
      </w:r>
      <w:r>
        <w:rPr>
          <w:rFonts w:ascii="Times New Roman" w:hAnsi="Times New Roman" w:eastAsia="等线" w:cs="Times New Roman"/>
          <w:szCs w:val="24"/>
          <w:lang w:val="de-DE"/>
        </w:rPr>
        <w:t>μ</w:t>
      </w:r>
      <w:r>
        <w:rPr>
          <w:rFonts w:ascii="Times New Roman" w:hAnsi="Times New Roman" w:eastAsia="等线" w:cs="Times New Roman"/>
          <w:szCs w:val="24"/>
        </w:rPr>
        <w:t>PDSCH| can be discussed as part of the UE capability discussion.</w:t>
      </w:r>
    </w:p>
    <w:p>
      <w:pPr>
        <w:spacing w:before="180" w:line="260" w:lineRule="auto"/>
        <w:jc w:val="both"/>
        <w:rPr>
          <w:rFonts w:eastAsia="宋体"/>
          <w:bCs/>
          <w:lang w:val="en-US" w:eastAsia="zh-CN"/>
        </w:rPr>
      </w:pPr>
      <w:r>
        <w:rPr>
          <w:rFonts w:hint="eastAsia" w:eastAsia="宋体"/>
          <w:bCs/>
          <w:lang w:val="en-US" w:eastAsia="zh-CN"/>
        </w:rPr>
        <w:t>In this contribution, we provide our views on the remaining issues of PDCCH monitoring enhancements for NR between 52.6 GHz ~ 71 GHz.</w:t>
      </w:r>
    </w:p>
    <w:bookmarkEnd w:id="5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on PDCCH monitoring enhancements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hint="default"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1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Multi-slot PDCCH monitoring capability</w:t>
      </w:r>
    </w:p>
    <w:p>
      <w:pPr>
        <w:numPr>
          <w:ilvl w:val="-1"/>
          <w:numId w:val="0"/>
        </w:numPr>
        <w:snapToGrid/>
        <w:spacing w:after="180" w:line="240" w:lineRule="auto"/>
        <w:ind w:left="0" w:firstLine="0"/>
        <w:jc w:val="left"/>
        <w:rPr>
          <w:rFonts w:hint="eastAsia" w:ascii="Times New Roman" w:hAnsi="Times New Roman" w:cs="Times New Roman"/>
          <w:i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lang w:val="en-US" w:eastAsia="zh-CN"/>
        </w:rPr>
        <w:t>The specific definition of multi-slot PDCCH monitoring capability for 480/960 kHz is shown in the following table according to the TS 38.213</w:t>
      </w:r>
      <w:r>
        <w:rPr>
          <w:rFonts w:hint="eastAsia" w:cs="Times New Roman"/>
          <w:i w:val="0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[2]</w:t>
      </w:r>
      <w:r>
        <w:rPr>
          <w:rFonts w:hint="eastAsia" w:ascii="Times New Roman" w:hAnsi="Times New Roman" w:cs="Times New Roman"/>
          <w:i w:val="0"/>
          <w:lang w:val="en-US" w:eastAsia="zh-CN"/>
        </w:rPr>
        <w:t>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20" w:type="dxa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If a UE is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for a serving cell, the UE obtains an indication to monitor PDCCH on the serving cell for a maximum number of PDCCH candidates and non-overlapping CCEs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slot, as in Tables 10.1-2 and 10.1-3,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5</w:t>
            </w:r>
            <w:r>
              <w:rPr>
                <w:i/>
              </w:rPr>
              <w:t>monitoringcapability</w:t>
            </w:r>
            <w:r>
              <w:rPr>
                <w:szCs w:val="22"/>
                <w:lang w:val="en-US"/>
              </w:rPr>
              <w:t xml:space="preserve">, </w:t>
            </w:r>
            <w:r>
              <w:rPr>
                <w:lang w:val="en-US"/>
              </w:rPr>
              <w:t xml:space="preserve">or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span, as in Tables 10.1-2A and 10.1-3A,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r16monitoringcapability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group </w:t>
            </w:r>
            <w:r>
              <w:rPr>
                <w:lang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eastAsia="zh-CN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zh-C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slots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according to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</m:d>
            </m:oMath>
            <w:r>
              <w:rPr>
                <w:lang w:val="en-US"/>
              </w:rPr>
              <w:t xml:space="preserve">, as in Tables 10.1-2B and 10.1-3B,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monitoringcapability</w:t>
            </w:r>
          </w:p>
          <w:p>
            <w:pPr>
              <w:numPr>
                <w:ilvl w:val="-1"/>
                <w:numId w:val="0"/>
              </w:numPr>
              <w:snapToGrid/>
              <w:spacing w:after="0" w:line="240" w:lineRule="auto"/>
              <w:jc w:val="left"/>
              <w:rPr>
                <w:rFonts w:hint="eastAsia" w:ascii="Times New Roman" w:hAnsi="Times New Roman" w:cs="Times New Roman"/>
                <w:i w:val="0"/>
                <w:vertAlign w:val="baseline"/>
                <w:lang w:val="en-US" w:eastAsia="zh-CN"/>
              </w:rPr>
            </w:pPr>
            <w:r>
              <w:rPr>
                <w:lang w:val="en-US"/>
              </w:rPr>
              <w:t xml:space="preserve">If the UE is not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, the UE monitors PDCCH on the serving cell for a maximum number of PDCCH candidates and non-overlapping CCEs per slot. </w:t>
            </w:r>
          </w:p>
        </w:tc>
      </w:tr>
    </w:tbl>
    <w:p>
      <w:pPr>
        <w:numPr>
          <w:ilvl w:val="-1"/>
          <w:numId w:val="0"/>
        </w:numPr>
        <w:snapToGrid/>
        <w:spacing w:before="137" w:beforeLines="50" w:after="180" w:line="240" w:lineRule="auto"/>
        <w:ind w:left="0" w:firstLine="0"/>
        <w:jc w:val="both"/>
        <w:rPr>
          <w:rFonts w:hint="eastAsia" w:ascii="Times New Roman" w:hAnsi="Times New Roman" w:cs="Times New Roman"/>
          <w:i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According to TS 38.213, i</w:t>
      </w:r>
      <w:r>
        <w:rPr>
          <w:highlight w:val="none"/>
          <w:lang w:val="en-US"/>
        </w:rPr>
        <w:t xml:space="preserve">f the UE is not provided </w:t>
      </w:r>
      <w:r>
        <w:rPr>
          <w:i/>
          <w:highlight w:val="none"/>
          <w:lang w:val="en-US"/>
        </w:rPr>
        <w:t>monitoringCapabilityConfig</w:t>
      </w:r>
      <w:r>
        <w:rPr>
          <w:highlight w:val="none"/>
          <w:lang w:val="en-US"/>
        </w:rPr>
        <w:t xml:space="preserve">, the UE monitors PDCCH on the serving cell for a maximum number of PDCCH candidates and non-overlapping CCEs </w:t>
      </w:r>
      <w:r>
        <w:rPr>
          <w:color w:val="auto"/>
          <w:highlight w:val="none"/>
          <w:lang w:val="en-US"/>
        </w:rPr>
        <w:t>per slot</w:t>
      </w:r>
      <w:r>
        <w:rPr>
          <w:highlight w:val="none"/>
          <w:lang w:val="en-US"/>
        </w:rPr>
        <w:t xml:space="preserve">. </w:t>
      </w:r>
      <w:r>
        <w:rPr>
          <w:rFonts w:hint="eastAsia" w:eastAsia="宋体"/>
          <w:highlight w:val="none"/>
          <w:lang w:val="en-US" w:eastAsia="zh-CN"/>
        </w:rPr>
        <w:t>However, f</w:t>
      </w:r>
      <w:r>
        <w:rPr>
          <w:lang w:eastAsia="zh-CN"/>
        </w:rPr>
        <w:t xml:space="preserve">or SCS configuration </w:t>
      </w:r>
      <m:oMath>
        <m:r>
          <m:rPr/>
          <w:rPr>
            <w:rFonts w:ascii="Cambria Math" w:hAnsi="Cambria Math"/>
            <w:lang w:eastAsia="zh-CN"/>
          </w:rPr>
          <m:t>μ=5</m:t>
        </m:r>
      </m:oMath>
      <w:r>
        <w:rPr>
          <w:lang w:eastAsia="zh-CN"/>
        </w:rPr>
        <w:t xml:space="preserve"> or </w:t>
      </w:r>
      <m:oMath>
        <m:r>
          <m:rPr/>
          <w:rPr>
            <w:rFonts w:ascii="Cambria Math" w:hAnsi="Cambria Math"/>
            <w:lang w:eastAsia="zh-CN"/>
          </w:rPr>
          <m:t>μ=6</m:t>
        </m:r>
      </m:oMath>
      <w:r>
        <w:rPr>
          <w:rFonts w:hint="eastAsia" w:ascii="Cambria Math" w:hAnsi="Cambria Math"/>
          <w:i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lang w:val="en-US" w:eastAsia="zh-CN"/>
        </w:rPr>
        <w:t>in Rel-17</w:t>
      </w:r>
      <w:r>
        <w:rPr>
          <w:rFonts w:hint="eastAsia" w:cs="Times New Roman"/>
          <w:i w:val="0"/>
          <w:lang w:val="en-US" w:eastAsia="zh-CN"/>
        </w:rPr>
        <w:t>,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 only multi-slot PDCCH monitoring capability is supported.</w:t>
      </w:r>
      <w:r>
        <w:rPr>
          <w:rFonts w:hint="eastAsia" w:cs="Times New Roman"/>
          <w:i w:val="0"/>
          <w:lang w:val="en-US" w:eastAsia="zh-CN"/>
        </w:rPr>
        <w:t xml:space="preserve"> We prefer to clarify this in the specification that if the UE is </w:t>
      </w:r>
      <w:r>
        <w:rPr>
          <w:lang w:val="en-US"/>
        </w:rPr>
        <w:t xml:space="preserve">not provided </w:t>
      </w:r>
      <w:r>
        <w:rPr>
          <w:i/>
          <w:lang w:val="en-US"/>
        </w:rPr>
        <w:t>monitoringCapabilityConfig</w:t>
      </w:r>
      <w:r>
        <w:rPr>
          <w:rFonts w:hint="eastAsia" w:cs="Times New Roman"/>
          <w:i w:val="0"/>
          <w:lang w:val="en-US" w:eastAsia="zh-CN"/>
        </w:rPr>
        <w:t xml:space="preserve"> or not configured with any monitoring capability </w:t>
      </w:r>
      <w:r>
        <w:rPr>
          <w:rFonts w:hint="eastAsia" w:eastAsia="宋体"/>
          <w:b w:val="0"/>
          <w:bCs w:val="0"/>
          <w:lang w:val="en-US" w:eastAsia="zh-CN"/>
        </w:rPr>
        <w:t xml:space="preserve">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eastAsia="宋体"/>
          <w:b w:val="0"/>
          <w:bCs w:val="0"/>
          <w:lang w:val="en-US" w:eastAsia="zh-CN"/>
        </w:rPr>
        <w:t xml:space="preserve">,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i w:val="0"/>
          <w:lang w:val="en-US" w:eastAsia="zh-CN"/>
        </w:rPr>
        <w:t xml:space="preserve"> =</w:t>
      </w:r>
      <w:r>
        <w:rPr>
          <w:rFonts w:hint="default" w:ascii="Times New Roman" w:hAnsi="Times New Roman" w:cs="Times New Roman"/>
          <w:i w:val="0"/>
          <w:lang w:val="en-US" w:eastAsia="zh-CN"/>
        </w:rPr>
        <w:t xml:space="preserve"> (4, 1) or (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8, 1) is mandatorily supported for </w:t>
      </w:r>
      <w:r>
        <w:rPr>
          <w:lang w:eastAsia="zh-CN"/>
        </w:rPr>
        <w:t xml:space="preserve">SCS configuration </w:t>
      </w:r>
      <m:oMath>
        <m:r>
          <m:rPr/>
          <w:rPr>
            <w:rFonts w:ascii="Cambria Math" w:hAnsi="Cambria Math"/>
            <w:lang w:eastAsia="zh-CN"/>
          </w:rPr>
          <m:t>μ=5</m:t>
        </m:r>
      </m:oMath>
      <w:r>
        <w:rPr>
          <w:lang w:eastAsia="zh-CN"/>
        </w:rPr>
        <w:t xml:space="preserve"> or </w:t>
      </w:r>
      <m:oMath>
        <m:r>
          <m:rPr/>
          <w:rPr>
            <w:rFonts w:ascii="Cambria Math" w:hAnsi="Cambria Math"/>
            <w:lang w:eastAsia="zh-CN"/>
          </w:rPr>
          <m:t>μ=6</m:t>
        </m:r>
      </m:oMath>
      <w:r>
        <w:rPr>
          <w:rFonts w:hint="default" w:ascii="Times New Roman" w:hAnsi="Times New Roman" w:cs="Times New Roman"/>
          <w:i w:val="0"/>
          <w:lang w:val="en-US" w:eastAsia="zh-CN"/>
        </w:rPr>
        <w:t xml:space="preserve"> respectively</w:t>
      </w:r>
      <w:r>
        <w:rPr>
          <w:rFonts w:hint="eastAsia" w:ascii="Cambria Math" w:hAnsi="Cambria Math"/>
          <w:i w:val="0"/>
          <w:lang w:val="en-US" w:eastAsia="zh-CN"/>
        </w:rPr>
        <w:t xml:space="preserve">. </w:t>
      </w:r>
    </w:p>
    <w:p>
      <w:pPr>
        <w:numPr>
          <w:ilvl w:val="-1"/>
          <w:numId w:val="0"/>
        </w:numPr>
        <w:snapToGrid/>
        <w:spacing w:after="180" w:line="240" w:lineRule="auto"/>
        <w:ind w:left="0" w:firstLine="0"/>
        <w:jc w:val="both"/>
        <w:rPr>
          <w:rFonts w:hint="default" w:ascii="Times New Roman" w:hAnsi="Times New Roman" w:cs="Times New Roman"/>
          <w:b/>
          <w:bCs/>
          <w:i w:val="0"/>
          <w:lang w:val="en-US" w:eastAsia="zh-CN"/>
        </w:rPr>
      </w:pPr>
      <w:r>
        <w:rPr>
          <w:rFonts w:hint="eastAsia" w:cs="Times New Roman"/>
          <w:b/>
          <w:bCs/>
          <w:i w:val="0"/>
          <w:lang w:val="en-US" w:eastAsia="zh-CN"/>
        </w:rPr>
        <w:t xml:space="preserve">Proposal 1: Further clarify in </w:t>
      </w:r>
      <w:r>
        <w:rPr>
          <w:rFonts w:hint="eastAsia" w:eastAsia="宋体"/>
          <w:b/>
          <w:bCs/>
          <w:lang w:val="en-US" w:eastAsia="zh-CN"/>
        </w:rPr>
        <w:t>TS 38.213</w:t>
      </w:r>
      <w:r>
        <w:rPr>
          <w:rFonts w:hint="eastAsia" w:cs="Times New Roman"/>
          <w:b/>
          <w:bCs/>
          <w:i w:val="0"/>
          <w:lang w:val="en-US" w:eastAsia="zh-CN"/>
        </w:rPr>
        <w:t xml:space="preserve"> that if the UE is </w:t>
      </w:r>
      <w:r>
        <w:rPr>
          <w:b/>
          <w:bCs/>
          <w:lang w:val="en-US"/>
        </w:rPr>
        <w:t xml:space="preserve">not provided </w:t>
      </w:r>
      <w:r>
        <w:rPr>
          <w:b/>
          <w:bCs/>
          <w:i/>
          <w:lang w:val="en-US"/>
        </w:rPr>
        <w:t>monitoringCapabilityConfig</w:t>
      </w:r>
      <w:r>
        <w:rPr>
          <w:rFonts w:hint="eastAsia" w:cs="Times New Roman"/>
          <w:b/>
          <w:bCs/>
          <w:i w:val="0"/>
          <w:lang w:val="en-US" w:eastAsia="zh-CN"/>
        </w:rPr>
        <w:t xml:space="preserve"> or not configured with any monitoring capability </w:t>
      </w:r>
      <w:r>
        <w:rPr>
          <w:rFonts w:hint="eastAsia" w:eastAsia="宋体"/>
          <w:b/>
          <w:bCs/>
          <w:lang w:val="en-US" w:eastAsia="zh-CN"/>
        </w:rPr>
        <w:t xml:space="preserve">combinations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 w:eastAsia="宋体"/>
          <w:b/>
          <w:bCs/>
          <w:lang w:val="en-US" w:eastAsia="zh-CN"/>
        </w:rPr>
        <w:t xml:space="preserve">,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 w:ascii="Cambria Math" w:hAnsi="Cambria Math"/>
          <w:b/>
          <w:bCs/>
          <w:i w:val="0"/>
          <w:lang w:val="en-US" w:eastAsia="zh-CN"/>
        </w:rPr>
        <w:t xml:space="preserve"> =</w:t>
      </w:r>
      <w:r>
        <w:rPr>
          <w:rFonts w:hint="default" w:ascii="Times New Roman" w:hAnsi="Times New Roman" w:cs="Times New Roman"/>
          <w:b/>
          <w:bCs/>
          <w:i w:val="0"/>
          <w:lang w:val="en-US" w:eastAsia="zh-CN"/>
        </w:rPr>
        <w:t xml:space="preserve"> (4, 1) or (</w:t>
      </w:r>
      <w:r>
        <w:rPr>
          <w:rFonts w:hint="eastAsia" w:ascii="Times New Roman" w:hAnsi="Times New Roman" w:cs="Times New Roman"/>
          <w:b/>
          <w:bCs/>
          <w:i w:val="0"/>
          <w:lang w:val="en-US" w:eastAsia="zh-CN"/>
        </w:rPr>
        <w:t xml:space="preserve">8, 1) is mandatorily supported for </w:t>
      </w:r>
      <w:r>
        <w:rPr>
          <w:b/>
          <w:bCs/>
          <w:lang w:eastAsia="zh-CN"/>
        </w:rPr>
        <w:t xml:space="preserve">SCS configuration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μ=5</m:t>
        </m:r>
      </m:oMath>
      <w:r>
        <w:rPr>
          <w:b/>
          <w:bCs/>
          <w:lang w:eastAsia="zh-CN"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μ=6</m:t>
        </m:r>
      </m:oMath>
      <w:r>
        <w:rPr>
          <w:rFonts w:hint="default" w:ascii="Times New Roman" w:hAnsi="Times New Roman" w:cs="Times New Roman"/>
          <w:b/>
          <w:bCs/>
          <w:i w:val="0"/>
          <w:lang w:val="en-US" w:eastAsia="zh-CN"/>
        </w:rPr>
        <w:t xml:space="preserve"> respectively</w:t>
      </w:r>
      <w:r>
        <w:rPr>
          <w:rFonts w:hint="eastAsia" w:ascii="Cambria Math" w:hAnsi="Cambria Math"/>
          <w:b/>
          <w:bCs/>
          <w:i w:val="0"/>
          <w:lang w:val="en-US" w:eastAsia="zh-CN"/>
        </w:rPr>
        <w:t xml:space="preserve">.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20" w:type="dxa"/>
          </w:tcPr>
          <w:p>
            <w:pPr>
              <w:keepNext/>
              <w:numPr>
                <w:ilvl w:val="0"/>
                <w:numId w:val="0"/>
              </w:numPr>
              <w:tabs>
                <w:tab w:val="left" w:pos="432"/>
              </w:tabs>
              <w:autoSpaceDE w:val="0"/>
              <w:autoSpaceDN w:val="0"/>
              <w:adjustRightInd w:val="0"/>
              <w:snapToGrid w:val="0"/>
              <w:spacing w:before="120" w:after="120"/>
              <w:ind w:left="432" w:hanging="432"/>
              <w:jc w:val="both"/>
              <w:outlineLvl w:val="1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>TP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en-US" w:eastAsia="en-US" w:bidi="ar-SA"/>
              </w:rPr>
              <w:t xml:space="preserve"> for TS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en-US" w:eastAsia="en-US" w:bidi="ar-SA"/>
              </w:rPr>
              <w:t>38.21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 xml:space="preserve">  (marked in red)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If a UE is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for a serving cell, the UE obtains an indication to monitor PDCCH on the serving cell for a maximum number of PDCCH candidates and non-overlapping CCEs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slot, as in Tables 10.1-2 and 10.1-3,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5</w:t>
            </w:r>
            <w:r>
              <w:rPr>
                <w:i/>
              </w:rPr>
              <w:t>monitoringcapability</w:t>
            </w:r>
            <w:r>
              <w:rPr>
                <w:szCs w:val="22"/>
                <w:lang w:val="en-US"/>
              </w:rPr>
              <w:t xml:space="preserve">, </w:t>
            </w:r>
            <w:r>
              <w:rPr>
                <w:lang w:val="en-US"/>
              </w:rPr>
              <w:t xml:space="preserve">or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span, as in Tables 10.1-2A and 10.1-3A,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r16monitoringcapability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group </w:t>
            </w:r>
            <w:r>
              <w:rPr>
                <w:lang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eastAsia="zh-CN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zh-C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slots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according to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</m:d>
            </m:oMath>
            <w:r>
              <w:rPr>
                <w:lang w:val="en-US"/>
              </w:rPr>
              <w:t xml:space="preserve">, as in Tables 10.1-2B and 10.1-3B,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monitoringcapability</w:t>
            </w:r>
          </w:p>
          <w:p>
            <w:pPr>
              <w:numPr>
                <w:ilvl w:val="-1"/>
                <w:numId w:val="0"/>
              </w:numPr>
              <w:snapToGrid/>
              <w:spacing w:after="180" w:line="240" w:lineRule="auto"/>
              <w:jc w:val="left"/>
              <w:rPr>
                <w:lang w:val="en-US"/>
              </w:rPr>
            </w:pPr>
            <w:r>
              <w:rPr>
                <w:color w:val="FF0000"/>
                <w:sz w:val="21"/>
                <w:szCs w:val="21"/>
                <w:lang w:val="en-US"/>
              </w:rPr>
              <w:t>F</w:t>
            </w:r>
            <w:r>
              <w:rPr>
                <w:color w:val="FF0000"/>
                <w:sz w:val="21"/>
                <w:szCs w:val="21"/>
              </w:rPr>
              <w:t xml:space="preserve">or </w:t>
            </w:r>
            <w:r>
              <w:rPr>
                <w:rFonts w:hint="eastAsia"/>
                <w:color w:val="FF0000"/>
                <w:sz w:val="21"/>
                <w:szCs w:val="21"/>
              </w:rPr>
              <w:t>μ</w:t>
            </w:r>
            <w:r>
              <w:rPr>
                <w:color w:val="FF0000"/>
                <w:sz w:val="21"/>
                <w:szCs w:val="21"/>
              </w:rPr>
              <w:t xml:space="preserve"> </w:t>
            </w:r>
            <w:r>
              <w:rPr>
                <w:rFonts w:ascii="Cambria Math" w:hAnsi="Cambria Math" w:cs="Cambria Math"/>
                <w:color w:val="FF0000"/>
                <w:sz w:val="21"/>
                <w:szCs w:val="21"/>
              </w:rPr>
              <w:t xml:space="preserve">∈ </w:t>
            </w:r>
            <w:r>
              <w:rPr>
                <w:rFonts w:hint="eastAsia"/>
                <w:color w:val="FF0000"/>
                <w:sz w:val="21"/>
                <w:szCs w:val="21"/>
              </w:rPr>
              <w:t>{0,1,2,3}</w:t>
            </w:r>
            <w:r>
              <w:rPr>
                <w:color w:val="FF0000"/>
                <w:sz w:val="21"/>
                <w:szCs w:val="21"/>
              </w:rPr>
              <w:t>,</w:t>
            </w:r>
            <w:r>
              <w:rPr>
                <w:rFonts w:hint="eastAsia" w:eastAsia="宋体"/>
                <w:color w:val="FF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</w:t>
            </w:r>
            <w:r>
              <w:rPr>
                <w:lang w:val="en-US"/>
              </w:rPr>
              <w:t xml:space="preserve">f the UE is not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, the UE monitors PDCCH on the serving cell for a maximum number of PDCCH candidates and non-overlapping CCEs per slot. </w:t>
            </w:r>
          </w:p>
          <w:p>
            <w:pPr>
              <w:numPr>
                <w:ilvl w:val="-1"/>
                <w:numId w:val="0"/>
              </w:numPr>
              <w:snapToGrid/>
              <w:spacing w:after="0" w:line="240" w:lineRule="auto"/>
              <w:jc w:val="left"/>
              <w:rPr>
                <w:lang w:val="en-US"/>
              </w:rPr>
            </w:pPr>
            <w:r>
              <w:rPr>
                <w:color w:val="FF0000"/>
              </w:rPr>
              <w:t xml:space="preserve">For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 xml:space="preserve"> </w:t>
            </w:r>
            <w:r>
              <w:rPr>
                <w:rFonts w:ascii="Cambria Math" w:hAnsi="Cambria Math" w:cs="Cambria Math"/>
                <w:color w:val="FF0000"/>
              </w:rPr>
              <w:t xml:space="preserve">∈ </w:t>
            </w:r>
            <w:r>
              <w:rPr>
                <w:rFonts w:hint="eastAsia"/>
                <w:color w:val="FF0000"/>
              </w:rPr>
              <w:t>{</w:t>
            </w:r>
            <w:r>
              <w:rPr>
                <w:color w:val="FF0000"/>
              </w:rPr>
              <w:t>5,6</w:t>
            </w:r>
            <w:r>
              <w:rPr>
                <w:rFonts w:hint="eastAsia"/>
                <w:color w:val="FF0000"/>
              </w:rPr>
              <w:t>}</w:t>
            </w:r>
            <w:r>
              <w:rPr>
                <w:color w:val="FF0000"/>
              </w:rPr>
              <w:t>,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i</w:t>
            </w:r>
            <w:r>
              <w:rPr>
                <w:color w:val="FF0000"/>
                <w:lang w:eastAsia="zh-CN"/>
              </w:rPr>
              <w:t>f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 w:eastAsia="宋体"/>
                <w:color w:val="FF0000"/>
                <w:lang w:val="en-US" w:eastAsia="zh-CN"/>
              </w:rPr>
              <w:t>the</w:t>
            </w:r>
            <w:r>
              <w:rPr>
                <w:color w:val="FF0000"/>
              </w:rPr>
              <w:t xml:space="preserve"> UE is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  <w:lang w:val="en-US"/>
              </w:rPr>
              <w:t xml:space="preserve">not provided </w:t>
            </w:r>
            <w:r>
              <w:rPr>
                <w:i/>
                <w:color w:val="FF0000"/>
                <w:lang w:val="en-US"/>
              </w:rPr>
              <w:t>monitoringCapabilityConfig</w:t>
            </w:r>
            <w:r>
              <w:rPr>
                <w:rFonts w:hint="eastAsia"/>
                <w:color w:val="FF0000"/>
                <w:lang w:val="en-US" w:eastAsia="zh-CN"/>
              </w:rPr>
              <w:t xml:space="preserve"> or </w:t>
            </w:r>
            <w:r>
              <w:rPr>
                <w:rFonts w:hint="eastAsia"/>
                <w:color w:val="FF0000"/>
                <w:highlight w:val="none"/>
                <w:lang w:eastAsia="zh-CN"/>
              </w:rPr>
              <w:t>not</w:t>
            </w:r>
            <w:r>
              <w:rPr>
                <w:color w:val="FF0000"/>
                <w:highlight w:val="none"/>
              </w:rPr>
              <w:t xml:space="preserve"> 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configured </w:t>
            </w:r>
            <w:r>
              <w:rPr>
                <w:color w:val="FF0000"/>
              </w:rPr>
              <w:t xml:space="preserve">with a combination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</m:oMath>
            <w:r>
              <w:rPr>
                <w:color w:val="FF0000"/>
                <w:lang w:eastAsia="zh-CN"/>
              </w:rPr>
              <w:t xml:space="preserve">, the UE assumes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=(4,1)</m:t>
              </m:r>
            </m:oMath>
            <w:r>
              <w:rPr>
                <w:color w:val="FF0000"/>
                <w:lang w:eastAsia="zh-CN"/>
              </w:rPr>
              <w:t xml:space="preserve"> for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 xml:space="preserve">=5 and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=(8,1)</m:t>
              </m:r>
            </m:oMath>
            <w:r>
              <w:rPr>
                <w:color w:val="FF0000"/>
              </w:rPr>
              <w:t xml:space="preserve"> for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>=6.</w:t>
            </w:r>
          </w:p>
          <w:p>
            <w:pPr>
              <w:numPr>
                <w:ilvl w:val="-1"/>
                <w:numId w:val="0"/>
              </w:numPr>
              <w:snapToGrid/>
              <w:spacing w:after="0" w:line="240" w:lineRule="auto"/>
              <w:jc w:val="left"/>
              <w:rPr>
                <w:rFonts w:hint="eastAsia"/>
                <w:lang w:val="en-US" w:eastAsia="zh-CN"/>
              </w:rPr>
            </w:pPr>
          </w:p>
        </w:tc>
      </w:tr>
    </w:tbl>
    <w:p>
      <w:pPr>
        <w:widowControl w:val="0"/>
        <w:spacing w:before="137" w:beforeLines="50" w:line="260" w:lineRule="auto"/>
        <w:jc w:val="both"/>
        <w:rPr>
          <w:lang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Moreover, f</w:t>
      </w:r>
      <w:r>
        <w:rPr>
          <w:lang w:eastAsia="zh-CN"/>
        </w:rPr>
        <w:t xml:space="preserve">or SCS configuration </w:t>
      </w:r>
      <m:oMath>
        <m:r>
          <m:rPr/>
          <w:rPr>
            <w:rFonts w:ascii="Cambria Math" w:hAnsi="Cambria Math"/>
            <w:lang w:eastAsia="zh-CN"/>
          </w:rPr>
          <m:t>μ=5</m:t>
        </m:r>
      </m:oMath>
      <w:r>
        <w:rPr>
          <w:lang w:eastAsia="zh-CN"/>
        </w:rPr>
        <w:t xml:space="preserve"> or </w:t>
      </w:r>
      <m:oMath>
        <m:r>
          <m:rPr/>
          <w:rPr>
            <w:rFonts w:ascii="Cambria Math" w:hAnsi="Cambria Math"/>
            <w:lang w:eastAsia="zh-CN"/>
          </w:rPr>
          <m:t>μ=6</m:t>
        </m:r>
      </m:oMath>
      <w:r>
        <w:rPr>
          <w:lang w:eastAsia="zh-CN"/>
        </w:rPr>
        <w:t xml:space="preserve">, a UE can indicate a capability to monitor PDCCH according to more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/>
          <w:lang w:val="en-US" w:eastAsia="zh-CN"/>
        </w:rPr>
        <w:t xml:space="preserve">, different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i w:val="0"/>
          <w:lang w:val="en-US" w:eastAsia="zh-CN"/>
        </w:rPr>
        <w:t xml:space="preserve"> may </w:t>
      </w:r>
      <w:r>
        <w:rPr>
          <w:rFonts w:hint="eastAsia" w:ascii="Times New Roman" w:hAnsi="Times New Roman" w:cs="Times New Roman"/>
          <w:i w:val="0"/>
          <w:lang w:val="en-US" w:eastAsia="zh-CN"/>
        </w:rPr>
        <w:t>correspond to different BD/CCE budge</w:t>
      </w:r>
      <w:r>
        <w:rPr>
          <w:rFonts w:hint="eastAsia" w:cs="Times New Roman"/>
          <w:i w:val="0"/>
          <w:lang w:val="en-US" w:eastAsia="zh-CN"/>
        </w:rPr>
        <w:t>t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, we </w:t>
      </w:r>
      <w:r>
        <w:rPr>
          <w:rFonts w:hint="eastAsia" w:cs="Times New Roman"/>
          <w:i w:val="0"/>
          <w:lang w:val="en-US" w:eastAsia="zh-CN"/>
        </w:rPr>
        <w:t>need to determine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 the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i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lang w:val="en-US" w:eastAsia="zh-CN"/>
        </w:rPr>
        <w:t>combination</w:t>
      </w:r>
      <w:r>
        <w:rPr>
          <w:rFonts w:hint="eastAsia" w:ascii="Cambria Math" w:hAnsi="Cambria Math"/>
          <w:i w:val="0"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However, the </w:t>
      </w:r>
      <w:r>
        <w:rPr>
          <w:rFonts w:hint="eastAsia"/>
          <w:lang w:eastAsia="zh-CN"/>
        </w:rPr>
        <w:t xml:space="preserve">determination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multi-slot PDCCH monitoring is different from that in Rel-16. There is no mandatory capability among </w:t>
      </w:r>
      <w:r>
        <w:rPr>
          <w:lang w:eastAsia="ko-KR"/>
        </w:rPr>
        <w:t xml:space="preserve">the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X,Y</m:t>
            </m:r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ko-KR"/>
        </w:rPr>
        <w:t xml:space="preserve"> = (2, 2), (4, 3), and (7, 3) per SCS configuration of </w:t>
      </w:r>
      <m:oMath>
        <m:r>
          <m:rPr/>
          <w:rPr>
            <w:rFonts w:ascii="Cambria Math" w:hAnsi="Cambria Math"/>
            <w:lang w:eastAsia="zh-CN"/>
          </w:rPr>
          <m:t>μ=0</m:t>
        </m:r>
      </m:oMath>
      <w:r>
        <w:rPr>
          <w:lang w:eastAsia="zh-CN"/>
        </w:rPr>
        <w:t xml:space="preserve"> and </w:t>
      </w:r>
      <m:oMath>
        <m:r>
          <m:rPr/>
          <w:rPr>
            <w:rFonts w:ascii="Cambria Math" w:hAnsi="Cambria Math"/>
            <w:lang w:eastAsia="zh-CN"/>
          </w:rPr>
          <m:t>μ=1</m:t>
        </m:r>
      </m:oMath>
      <w:r>
        <w:rPr>
          <w:rFonts w:hint="eastAsia" w:ascii="Cambria Math" w:hAnsi="Cambria Math"/>
          <w:i w:val="0"/>
          <w:lang w:val="en-US" w:eastAsia="zh-CN"/>
        </w:rPr>
        <w:t xml:space="preserve"> </w:t>
      </w:r>
      <w:r>
        <w:rPr>
          <w:rFonts w:hint="eastAsia"/>
          <w:lang w:eastAsia="zh-CN"/>
        </w:rPr>
        <w:t>and a</w:t>
      </w:r>
      <w:r>
        <w:rPr>
          <w:lang w:eastAsia="ko-KR"/>
        </w:rPr>
        <w:t xml:space="preserve"> UE can indicate a capability to monitor PDCCH according to one or more of the</w:t>
      </w:r>
      <w:r>
        <w:rPr>
          <w:rFonts w:hint="eastAsia" w:eastAsia="宋体"/>
          <w:lang w:val="en-US"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X,Y</m:t>
            </m:r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ko-KR"/>
        </w:rPr>
        <w:t xml:space="preserve"> combinations</w:t>
      </w:r>
      <w:r>
        <w:rPr>
          <w:rFonts w:hint="eastAsia" w:ascii="Cambria Math" w:hAnsi="Cambria Math"/>
          <w:lang w:eastAsia="zh-CN"/>
        </w:rPr>
        <w:t xml:space="preserve"> </w:t>
      </w:r>
      <w:r>
        <w:rPr>
          <w:lang w:eastAsia="zh-CN"/>
        </w:rPr>
        <w:t>in Rel-16</w:t>
      </w:r>
      <w:r>
        <w:rPr>
          <w:rFonts w:hint="eastAsia"/>
          <w:lang w:eastAsia="zh-CN"/>
        </w:rPr>
        <w:t xml:space="preserve"> . </w:t>
      </w:r>
    </w:p>
    <w:p>
      <w:pPr>
        <w:numPr>
          <w:ilvl w:val="-1"/>
          <w:numId w:val="0"/>
        </w:numPr>
        <w:snapToGrid/>
        <w:spacing w:before="0" w:after="180" w:line="260" w:lineRule="auto"/>
        <w:ind w:left="0" w:firstLine="0"/>
        <w:jc w:val="both"/>
        <w:rPr>
          <w:rFonts w:hint="default" w:ascii="Cambria Math" w:hAnsi="Cambria Math" w:eastAsia="Times New Roman"/>
          <w:b w:val="0"/>
          <w:bCs w:val="0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Assuming that </w:t>
      </w:r>
      <w:r>
        <w:rPr>
          <w:rFonts w:hint="eastAsia"/>
          <w:lang w:val="en-US" w:eastAsia="zh-CN"/>
        </w:rPr>
        <w:t>a similar rule as Rel-16 is extended to</w:t>
      </w:r>
      <w:r>
        <w:rPr>
          <w:rFonts w:hint="eastAsia"/>
          <w:lang w:eastAsia="zh-CN"/>
        </w:rPr>
        <w:t xml:space="preserve"> Rel-17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the UE monitors PDCCH according to the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that is associated with the largest maximum number of BD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CCE for the SC</w:t>
      </w:r>
      <w:r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>If a UE indicates a capability to</w:t>
      </w:r>
      <w:r>
        <w:rPr>
          <w:color w:val="auto"/>
          <w:lang w:eastAsia="ko-KR"/>
        </w:rPr>
        <w:t xml:space="preserve"> monitor PDCCH according to multiple </w:t>
      </w:r>
      <m:oMath>
        <m:d>
          <m:dPr>
            <m:ctrlPr>
              <w:rPr>
                <w:rFonts w:ascii="Cambria Math" w:hAnsi="Cambria Math"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color w:val="auto"/>
                <w:lang w:eastAsia="zh-CN"/>
              </w:rPr>
            </m:ctrlPr>
          </m:e>
        </m:d>
      </m:oMath>
      <w:r>
        <w:rPr>
          <w:color w:val="auto"/>
          <w:lang w:eastAsia="zh-CN"/>
        </w:rPr>
        <w:t xml:space="preserve"> combinations</w:t>
      </w:r>
      <w:r>
        <w:rPr>
          <w:color w:val="auto"/>
          <w:lang w:eastAsia="ko-KR"/>
        </w:rPr>
        <w:t xml:space="preserve"> and </w:t>
      </w:r>
      <w:r>
        <w:rPr>
          <w:rFonts w:hint="eastAsia" w:eastAsia="宋体"/>
          <w:color w:val="auto"/>
          <w:lang w:val="en-US" w:eastAsia="zh-CN"/>
        </w:rPr>
        <w:t xml:space="preserve">one or more </w:t>
      </w:r>
      <w:r>
        <w:rPr>
          <w:color w:val="auto"/>
          <w:lang w:eastAsia="ko-KR"/>
        </w:rPr>
        <w:t>multiple</w:t>
      </w:r>
      <w:r>
        <w:rPr>
          <w:color w:val="auto"/>
          <w:lang w:eastAsia="zh-CN"/>
        </w:rPr>
        <w:t xml:space="preserve"> combinations</w:t>
      </w:r>
      <w:r>
        <w:rPr>
          <w:color w:val="auto"/>
          <w:lang w:eastAsia="ko-KR"/>
        </w:rPr>
        <w:t xml:space="preserve"> </w:t>
      </w:r>
      <m:oMath>
        <m:d>
          <m:dPr>
            <m:ctrlPr>
              <w:rPr>
                <w:rFonts w:ascii="Cambria Math" w:hAnsi="Cambria Math"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color w:val="auto"/>
                <w:lang w:eastAsia="zh-CN"/>
              </w:rPr>
            </m:ctrlPr>
          </m:e>
        </m:d>
      </m:oMath>
      <w:r>
        <w:rPr>
          <w:rFonts w:hint="eastAsia" w:eastAsia="宋体"/>
          <w:color w:val="auto"/>
          <w:lang w:val="en-US" w:eastAsia="zh-CN"/>
        </w:rPr>
        <w:t xml:space="preserve"> can meet the</w:t>
      </w:r>
      <w:r>
        <w:rPr>
          <w:color w:val="auto"/>
          <w:lang w:eastAsia="ko-KR"/>
        </w:rPr>
        <w:t xml:space="preserve"> configuration of search space sets to the UE for PDCCH monitoring on a cell</w:t>
      </w:r>
      <w:r>
        <w:rPr>
          <w:rFonts w:hint="eastAsia"/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auto"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color w:val="auto"/>
                <w:lang w:eastAsia="zh-CN"/>
              </w:rPr>
              <m:t>X</m:t>
            </m:r>
            <m:ctrlPr>
              <w:rPr>
                <w:rFonts w:ascii="Cambria Math" w:hAnsi="Cambria Math"/>
                <w:i/>
                <w:color w:val="auto"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color w:val="auto"/>
                <w:lang w:eastAsia="zh-CN"/>
              </w:rPr>
              <m:t>s</m:t>
            </m:r>
            <m:ctrlPr>
              <w:rPr>
                <w:rFonts w:ascii="Cambria Math" w:hAnsi="Cambria Math"/>
                <w:i/>
                <w:color w:val="auto"/>
                <w:lang w:eastAsia="zh-CN"/>
              </w:rPr>
            </m:ctrlPr>
          </m:sub>
        </m:sSub>
      </m:oMath>
      <w:r>
        <w:rPr>
          <w:rFonts w:hint="eastAsia" w:ascii="Cambria Math" w:hAnsi="Cambria Math"/>
          <w:i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= 4 and 8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slots </w:t>
      </w:r>
      <w:r>
        <w:rPr>
          <w:rFonts w:hint="eastAsia"/>
          <w:lang w:eastAsia="zh-CN"/>
        </w:rPr>
        <w:t>for 480 and 960 kHz respectively are</w:t>
      </w:r>
      <w:r>
        <w:rPr>
          <w:rFonts w:hint="eastAsia"/>
          <w:lang w:val="en-US" w:eastAsia="zh-CN"/>
        </w:rPr>
        <w:t xml:space="preserve"> almostly always</w:t>
      </w:r>
      <w:r>
        <w:rPr>
          <w:rFonts w:hint="eastAsia"/>
          <w:lang w:eastAsia="zh-CN"/>
        </w:rPr>
        <w:t xml:space="preserve"> chosen</w:t>
      </w:r>
      <w:r>
        <w:rPr>
          <w:rFonts w:hint="eastAsia"/>
          <w:lang w:val="en-US" w:eastAsia="zh-CN"/>
        </w:rPr>
        <w:t xml:space="preserve"> since those two values are mandatorily supported and associated with the largest BD/CCE budget</w:t>
      </w:r>
      <w:r>
        <w:rPr>
          <w:rFonts w:hint="eastAsia"/>
          <w:lang w:eastAsia="zh-CN"/>
        </w:rPr>
        <w:t xml:space="preserve">. However, in our understanding, the 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should be configurable for more flexible operation in above 52.6 GHz band</w:t>
      </w:r>
      <w:bookmarkStart w:id="6" w:name="_GoBack"/>
      <w:bookmarkEnd w:id="6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depend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on UE capability. We need to consider </w:t>
      </w:r>
      <w:r>
        <w:rPr>
          <w:rFonts w:hint="eastAsia"/>
          <w:lang w:val="en-US" w:eastAsia="zh-CN"/>
        </w:rPr>
        <w:t xml:space="preserve"> introducing new </w:t>
      </w:r>
      <w:r>
        <w:rPr>
          <w:rFonts w:hint="eastAsia"/>
          <w:lang w:eastAsia="zh-CN"/>
        </w:rPr>
        <w:t xml:space="preserve">RRC </w:t>
      </w:r>
      <w:r>
        <w:rPr>
          <w:rFonts w:hint="eastAsia"/>
          <w:lang w:val="en-US" w:eastAsia="zh-CN"/>
        </w:rPr>
        <w:t xml:space="preserve">parameter </w:t>
      </w:r>
      <w:r>
        <w:rPr>
          <w:rFonts w:hint="eastAsia"/>
          <w:lang w:eastAsia="zh-CN"/>
        </w:rPr>
        <w:t xml:space="preserve">to configure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with smaller value of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for some scenarios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such as low latency traffic and flexible </w:t>
      </w:r>
      <w:r>
        <w:rPr>
          <w:rFonts w:hint="eastAsia"/>
          <w:lang w:val="en-US" w:eastAsia="zh-CN"/>
        </w:rPr>
        <w:t xml:space="preserve">scenarios. </w:t>
      </w:r>
      <w:r>
        <w:rPr>
          <w:rFonts w:hint="eastAsia"/>
          <w:b w:val="0"/>
          <w:bCs w:val="0"/>
          <w:lang w:val="en-US" w:eastAsia="zh-CN"/>
        </w:rPr>
        <w:t>Also, t</w:t>
      </w:r>
      <w:r>
        <w:rPr>
          <w:highlight w:val="none"/>
          <w:lang w:eastAsia="zh-CN"/>
        </w:rPr>
        <w:t xml:space="preserve">he UE expects to monitor PDCCH according to the same </w:t>
      </w:r>
      <w:r>
        <w:rPr>
          <w:highlight w:val="none"/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rPr>
          <w:highlight w:val="none"/>
          <w:lang w:eastAsia="zh-CN"/>
        </w:rPr>
        <w:t>in every slot</w:t>
      </w:r>
      <w:r>
        <w:rPr>
          <w:rFonts w:hint="eastAsia"/>
          <w:highlight w:val="none"/>
          <w:lang w:val="en-US" w:eastAsia="zh-CN"/>
        </w:rPr>
        <w:t xml:space="preserve"> group</w:t>
      </w:r>
      <w:r>
        <w:rPr>
          <w:highlight w:val="none"/>
          <w:lang w:eastAsia="zh-CN"/>
        </w:rPr>
        <w:t xml:space="preserve"> on the active DL BWP of a cell.</w:t>
      </w:r>
    </w:p>
    <w:p>
      <w:pPr>
        <w:numPr>
          <w:ilvl w:val="1"/>
          <w:numId w:val="0"/>
        </w:numPr>
        <w:snapToGrid w:val="0"/>
        <w:spacing w:after="180" w:line="260" w:lineRule="auto"/>
        <w:ind w:left="0" w:firstLine="0"/>
        <w:jc w:val="both"/>
        <w:rPr>
          <w:rFonts w:hint="eastAsia" w:ascii="Cambria Math" w:hAnsi="Cambria Math"/>
          <w:b w:val="0"/>
          <w:bCs w:val="0"/>
          <w:i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</w:t>
      </w:r>
      <w:r>
        <w:rPr>
          <w:b/>
          <w:bCs/>
          <w:color w:val="auto"/>
          <w:lang w:eastAsia="zh-CN"/>
        </w:rPr>
        <w:t>If a UE indicates a capability to</w:t>
      </w:r>
      <w:r>
        <w:rPr>
          <w:b/>
          <w:bCs/>
          <w:color w:val="auto"/>
          <w:lang w:eastAsia="ko-KR"/>
        </w:rPr>
        <w:t xml:space="preserve"> monitor PDCCH according to multiple </w:t>
      </w:r>
      <m:oMath>
        <m:d>
          <m:dPr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e>
        </m:d>
      </m:oMath>
      <w:r>
        <w:rPr>
          <w:b/>
          <w:bCs/>
          <w:color w:val="auto"/>
          <w:lang w:eastAsia="zh-CN"/>
        </w:rPr>
        <w:t xml:space="preserve"> combinations</w:t>
      </w:r>
      <w:r>
        <w:rPr>
          <w:b/>
          <w:bCs/>
          <w:color w:val="auto"/>
          <w:lang w:eastAsia="ko-KR"/>
        </w:rPr>
        <w:t xml:space="preserve"> and 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one or more </w:t>
      </w:r>
      <w:r>
        <w:rPr>
          <w:b/>
          <w:bCs/>
          <w:color w:val="auto"/>
          <w:lang w:eastAsia="ko-KR"/>
        </w:rPr>
        <w:t>multiple</w:t>
      </w:r>
      <w:r>
        <w:rPr>
          <w:b/>
          <w:bCs/>
          <w:color w:val="auto"/>
          <w:lang w:eastAsia="zh-CN"/>
        </w:rPr>
        <w:t xml:space="preserve"> combinations</w:t>
      </w:r>
      <w:r>
        <w:rPr>
          <w:b/>
          <w:bCs/>
          <w:color w:val="auto"/>
          <w:lang w:eastAsia="ko-KR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e>
        </m:d>
      </m:oMath>
      <w:r>
        <w:rPr>
          <w:rFonts w:hint="eastAsia" w:eastAsia="宋体"/>
          <w:b/>
          <w:bCs/>
          <w:color w:val="auto"/>
          <w:lang w:val="en-US" w:eastAsia="zh-CN"/>
        </w:rPr>
        <w:t xml:space="preserve"> can meet the</w:t>
      </w:r>
      <w:r>
        <w:rPr>
          <w:b/>
          <w:bCs/>
          <w:color w:val="auto"/>
          <w:lang w:eastAsia="ko-KR"/>
        </w:rPr>
        <w:t xml:space="preserve"> configuration of search space sets to the UE for PDCCH monitoring on a cell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, </w:t>
      </w:r>
      <w:r>
        <w:rPr>
          <w:rFonts w:hint="eastAsia"/>
          <w:b/>
          <w:bCs/>
          <w:lang w:val="en-US" w:eastAsia="zh-CN"/>
        </w:rPr>
        <w:t>w</w:t>
      </w:r>
      <w:r>
        <w:rPr>
          <w:rFonts w:hint="eastAsia"/>
          <w:b/>
          <w:bCs/>
          <w:lang w:eastAsia="zh-CN"/>
        </w:rPr>
        <w:t xml:space="preserve">e need to consider RRC signaling to configure the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rFonts w:hint="eastAsia" w:ascii="Cambria Math" w:hAnsi="Cambria Math" w:eastAsia="宋体"/>
          <w:b/>
          <w:bCs/>
          <w:i w:val="0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bCs/>
          <w:i w:val="0"/>
          <w:lang w:val="en-US" w:eastAsia="zh-CN"/>
        </w:rPr>
        <w:t>for flexible scheduling</w:t>
      </w:r>
      <w:r>
        <w:rPr>
          <w:rFonts w:hint="eastAsia" w:ascii="Times New Roman" w:hAnsi="Times New Roman" w:eastAsia="宋体" w:cs="Times New Roman"/>
          <w:b/>
          <w:bCs/>
          <w:i w:val="0"/>
          <w:lang w:val="en-US" w:eastAsia="zh-CN"/>
        </w:rPr>
        <w:t xml:space="preserve">. Moreover, </w:t>
      </w:r>
      <w:r>
        <w:rPr>
          <w:rFonts w:hint="eastAsia"/>
          <w:b/>
          <w:bCs/>
          <w:lang w:val="en-US" w:eastAsia="zh-CN"/>
        </w:rPr>
        <w:t>t</w:t>
      </w:r>
      <w:r>
        <w:rPr>
          <w:b/>
          <w:bCs/>
          <w:highlight w:val="none"/>
          <w:lang w:eastAsia="zh-CN"/>
        </w:rPr>
        <w:t xml:space="preserve">he UE expects to monitor PDCCH according to the same </w:t>
      </w:r>
      <w:r>
        <w:rPr>
          <w:b/>
          <w:bCs/>
          <w:highlight w:val="none"/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highlight w:val="none"/>
          <w:lang w:eastAsia="zh-CN"/>
        </w:rPr>
        <w:t>in every slot</w:t>
      </w:r>
      <w:r>
        <w:rPr>
          <w:rFonts w:hint="eastAsia"/>
          <w:b/>
          <w:bCs/>
          <w:highlight w:val="none"/>
          <w:lang w:val="en-US" w:eastAsia="zh-CN"/>
        </w:rPr>
        <w:t xml:space="preserve"> group</w:t>
      </w:r>
      <w:r>
        <w:rPr>
          <w:b/>
          <w:bCs/>
          <w:highlight w:val="none"/>
          <w:lang w:eastAsia="zh-CN"/>
        </w:rPr>
        <w:t xml:space="preserve"> on the active DL BWP of a cell.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hint="default"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BD/CCE budget</w:t>
      </w:r>
    </w:p>
    <w:p>
      <w:pPr>
        <w:numPr>
          <w:ilvl w:val="-1"/>
          <w:numId w:val="0"/>
        </w:numPr>
        <w:spacing w:before="0" w:after="180" w:line="260" w:lineRule="auto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In the RAN1 #10</w:t>
      </w:r>
      <w:r>
        <w:rPr>
          <w:rFonts w:hint="eastAsia" w:eastAsia="宋体"/>
          <w:lang w:val="en-US" w:eastAsia="zh-CN"/>
        </w:rPr>
        <w:t xml:space="preserve">7 </w:t>
      </w:r>
      <w:r>
        <w:rPr>
          <w:rFonts w:hint="eastAsia"/>
          <w:lang w:val="en-US"/>
        </w:rPr>
        <w:t>e-meeting</w:t>
      </w:r>
      <w:r>
        <w:rPr>
          <w:rFonts w:hint="eastAsia" w:eastAsia="宋体"/>
          <w:lang w:val="en-US" w:eastAsia="zh-CN"/>
        </w:rPr>
        <w:t xml:space="preserve">, it was agreed that a UE capable of multi-slot monitoring optionally supports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eastAsia="宋体"/>
          <w:lang w:val="en-US" w:eastAsia="zh-CN"/>
        </w:rPr>
        <w:t xml:space="preserve"> = (4, 2) for SCS 480 kHz and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eastAsia="宋体"/>
          <w:lang w:val="en-US" w:eastAsia="zh-CN"/>
        </w:rPr>
        <w:t xml:space="preserve"> = (8, 4), (4, 2), (4, 1) for SCS 960 kHz. The BD/CCE budget of SCS 960kHz for </w:t>
      </w:r>
      <w:r>
        <w:rPr>
          <w:rFonts w:hint="default" w:ascii="Times New Roman" w:hAnsi="Times New Roman" w:cs="Times New Roman"/>
          <w:sz w:val="20"/>
          <w:szCs w:val="20"/>
        </w:rPr>
        <w:t xml:space="preserve"> (4,2), (4,1)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can be scaled based on the absolute time of a slot group, and </w:t>
      </w:r>
      <w:r>
        <w:rPr>
          <w:rFonts w:hint="eastAsia" w:eastAsia="宋体"/>
          <w:bCs/>
          <w:lang w:val="en-US" w:eastAsia="zh-CN"/>
        </w:rPr>
        <w:t xml:space="preserve">the value of </w:t>
      </w:r>
      <w:r>
        <w:rPr>
          <w:position w:val="-10"/>
          <w:lang w:val="en-US" w:eastAsia="zh-CN"/>
        </w:rPr>
        <w:drawing>
          <wp:inline distT="0" distB="0" distL="0" distR="0">
            <wp:extent cx="485775" cy="247650"/>
            <wp:effectExtent l="0" t="0" r="9525" b="0"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lang w:val="en-US" w:eastAsia="zh-CN"/>
        </w:rPr>
        <w:t xml:space="preserve"> is large enough to enable the highest CCE aggregation level. </w:t>
      </w:r>
      <w:r>
        <w:rPr>
          <w:rFonts w:hint="eastAsia" w:eastAsia="宋体"/>
          <w:lang w:val="en-US" w:eastAsia="zh-CN"/>
        </w:rPr>
        <w:t>The following working assumption related to BD/CCE budge was made during the meeting:</w:t>
      </w:r>
    </w:p>
    <w:p>
      <w:pPr>
        <w:numPr>
          <w:ilvl w:val="-1"/>
          <w:numId w:val="0"/>
        </w:numPr>
        <w:spacing w:after="180" w:line="260" w:lineRule="auto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highlight w:val="darkYellow"/>
        </w:rPr>
        <w:t>Working assumption:</w:t>
      </w:r>
      <w:r>
        <w:rPr>
          <w:rFonts w:hint="default" w:ascii="Times New Roman" w:hAnsi="Times New Roman" w:cs="Times New Roman"/>
          <w:sz w:val="20"/>
          <w:szCs w:val="20"/>
        </w:rPr>
        <w:t xml:space="preserve"> BD/CCE budget for (4,2), (4,1) is half that of X=8</w:t>
      </w:r>
    </w:p>
    <w:p>
      <w:pPr>
        <w:spacing w:before="0" w:line="260" w:lineRule="auto"/>
        <w:jc w:val="both"/>
      </w:pPr>
      <w:r>
        <w:rPr>
          <w:rFonts w:hint="eastAsia" w:eastAsia="宋体"/>
          <w:lang w:val="en-US" w:eastAsia="zh-CN"/>
        </w:rPr>
        <w:t xml:space="preserve">According to the working assumption, </w:t>
      </w:r>
      <w:r>
        <w:t>Table 1</w:t>
      </w:r>
      <w:r>
        <w:rPr>
          <w:rFonts w:hint="eastAsia" w:eastAsia="宋体"/>
          <w:lang w:val="en-US" w:eastAsia="zh-CN"/>
        </w:rPr>
        <w:t xml:space="preserve"> and Table 2</w:t>
      </w:r>
      <w:r>
        <w:t xml:space="preserve"> provide the maximum number of monitored PDCCH candidates,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M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,μ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up>
        </m:sSubSup>
      </m:oMath>
      <w:r>
        <w:rPr>
          <w:rFonts w:hint="eastAsia" w:ascii="Cambria Math" w:hAnsi="Cambria Math"/>
          <w:i w:val="0"/>
          <w:sz w:val="18"/>
          <w:szCs w:val="18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and </w:t>
      </w:r>
      <w:r>
        <w:t xml:space="preserve"> non-overlapped CCEs, </w:t>
      </w:r>
      <m:oMath>
        <m:sSubSup>
          <m:sSubSupPr>
            <m:ctrlPr>
              <w:rPr>
                <w:rFonts w:ascii="Cambria Math" w:hAnsi="Cambria Math"/>
                <w:i/>
                <w:sz w:val="18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/>
                <w:i/>
                <w:sz w:val="18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/>
                <w:i/>
                <w:sz w:val="18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,μ</m:t>
            </m:r>
            <m:ctrlPr>
              <w:rPr>
                <w:rFonts w:ascii="Cambria Math" w:hAnsi="Cambria Math"/>
                <w:i/>
                <w:sz w:val="18"/>
                <w:lang w:eastAsia="zh-CN"/>
              </w:rPr>
            </m:ctrlPr>
          </m:sup>
        </m:sSubSup>
      </m:oMath>
      <w:r>
        <w:rPr>
          <w:rFonts w:hint="eastAsia" w:ascii="Cambria Math" w:hAnsi="Cambria Math"/>
          <w:i w:val="0"/>
          <w:sz w:val="18"/>
          <w:lang w:val="en-US" w:eastAsia="zh-CN"/>
        </w:rPr>
        <w:t>,</w:t>
      </w:r>
      <w:r>
        <w:t xml:space="preserve"> per slot group for combination </w:t>
      </w:r>
      <m:oMath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Y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t xml:space="preserve"> for a UE in a DL BWP with SCS configuration </w:t>
      </w:r>
      <m:oMath>
        <m:r>
          <m:rPr/>
          <w:rPr>
            <w:rFonts w:ascii="Cambria Math" w:hAnsi="Cambria Math"/>
            <w:lang w:eastAsia="zh-CN"/>
          </w:rPr>
          <m:t>μ</m:t>
        </m:r>
      </m:oMath>
      <w:r>
        <w:t xml:space="preserve"> for operation with a single serving cell.</w:t>
      </w:r>
    </w:p>
    <w:p>
      <w:pPr>
        <w:pStyle w:val="75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Table 1: Maximum number </w:t>
      </w:r>
      <m:oMath>
        <m:sSubSup>
          <m:sSubSupP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M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 w:val="0"/>
          <w:bCs/>
        </w:rPr>
        <w:t xml:space="preserve"> of monitored PDCCH candidates per </w:t>
      </w:r>
      <w:r>
        <w:rPr>
          <w:rFonts w:ascii="Times New Roman" w:hAnsi="Times New Roman"/>
          <w:b w:val="0"/>
          <w:bCs/>
          <w:sz w:val="20"/>
          <w:szCs w:val="20"/>
        </w:rPr>
        <w:t xml:space="preserve">slot group for combination </w:t>
      </w:r>
      <m:oMath>
        <m:d>
          <m:dPr>
            <m:ctrlPr>
              <w:rPr>
                <w:rFonts w:ascii="Cambria Math" w:hAnsi="Cambria Math" w:cs="Times New Roman"/>
                <w:b w:val="0"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 w:val="0"/>
                <w:bCs/>
                <w:i/>
              </w:rPr>
            </m:ctrlPr>
          </m:e>
        </m:d>
      </m:oMath>
      <w:r>
        <w:rPr>
          <w:rFonts w:ascii="Times New Roman" w:hAnsi="Times New Roman"/>
          <w:b w:val="0"/>
          <w:bCs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 w:val="0"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 w:val="0"/>
          <w:bCs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Y</m:t>
                          </m: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 w:val="0"/>
                              <w:bCs/>
                              <w:i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,μ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  <w:r>
              <w:rPr>
                <w:rFonts w:ascii="Times New Roman" w:hAnsi="Times New Roman"/>
                <w:b w:val="0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of monitored PDCCH candidates per </w:t>
            </w:r>
            <w:r>
              <w:rPr>
                <w:rFonts w:ascii="Times New Roman" w:hAnsi="Times New Roman"/>
                <w:b w:val="0"/>
                <w:bCs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 and per serving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color w:val="0000FF"/>
                <w:sz w:val="20"/>
              </w:rPr>
              <w:t>10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color w:val="0000FF"/>
                <w:sz w:val="20"/>
              </w:rPr>
              <w:t>10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20</w:t>
            </w:r>
          </w:p>
        </w:tc>
      </w:tr>
    </w:tbl>
    <w:p>
      <w:pPr>
        <w:numPr>
          <w:ilvl w:val="1"/>
          <w:numId w:val="0"/>
        </w:numPr>
        <w:snapToGrid w:val="0"/>
        <w:spacing w:after="240" w:line="260" w:lineRule="auto"/>
        <w:ind w:left="0" w:firstLine="0"/>
        <w:jc w:val="both"/>
        <w:rPr>
          <w:rFonts w:hint="default" w:eastAsia="宋体"/>
          <w:b w:val="0"/>
          <w:bCs/>
          <w:lang w:val="en-US" w:eastAsia="zh-CN"/>
        </w:rPr>
      </w:pPr>
    </w:p>
    <w:p>
      <w:pPr>
        <w:pStyle w:val="75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Table </w:t>
      </w:r>
      <w:r>
        <w:rPr>
          <w:rFonts w:hint="default" w:ascii="Times New Roman" w:hAnsi="Times New Roman"/>
          <w:b w:val="0"/>
          <w:bCs/>
          <w:lang w:val="en-US" w:eastAsia="zh-CN"/>
        </w:rPr>
        <w:t>2</w:t>
      </w:r>
      <w:r>
        <w:rPr>
          <w:rFonts w:ascii="Times New Roman" w:hAnsi="Times New Roman"/>
          <w:b w:val="0"/>
          <w:bCs/>
        </w:rPr>
        <w:t xml:space="preserve">: Maximum number </w:t>
      </w:r>
      <m:oMath>
        <m:sSubSup>
          <m:sSubSupP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 w:val="0"/>
          <w:bCs/>
        </w:rPr>
        <w:t xml:space="preserve"> of non-overlapped CCEs in a slot group for combination </w:t>
      </w:r>
      <m:oMath>
        <m:d>
          <m:dPr>
            <m:ctrlPr>
              <w:rPr>
                <w:rFonts w:ascii="Cambria Math" w:hAnsi="Cambria Math" w:cs="Times New Roman"/>
                <w:b w:val="0"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 w:val="0"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 w:val="0"/>
                <w:bCs/>
                <w:i/>
              </w:rPr>
            </m:ctrlPr>
          </m:e>
        </m:d>
      </m:oMath>
      <w:r>
        <w:rPr>
          <w:rFonts w:ascii="Times New Roman" w:hAnsi="Times New Roman"/>
          <w:b w:val="0"/>
          <w:bCs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 w:val="0"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 w:val="0"/>
                <w:bCs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 w:val="0"/>
          <w:bCs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Maximum number of non-overlapped CCEs per </w:t>
            </w:r>
            <w:r>
              <w:rPr>
                <w:rFonts w:ascii="Times New Roman" w:hAnsi="Times New Roman"/>
                <w:b w:val="0"/>
                <w:bCs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 and per serving cell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C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eastAsia="zh-CN"/>
                    </w:rPr>
                    <m:t>max,(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 w:val="0"/>
                          <w:bCs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),μ</m:t>
                  </m:r>
                  <m:ctrlPr>
                    <w:rPr>
                      <w:rFonts w:ascii="Cambria Math" w:hAnsi="Cambria Math" w:cs="Times New Roman"/>
                      <w:b w:val="0"/>
                      <w:bCs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32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Cs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color w:val="0000FF"/>
                <w:sz w:val="20"/>
              </w:rPr>
              <w:t>16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Cs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color w:val="0000FF"/>
                <w:sz w:val="20"/>
              </w:rPr>
              <w:t>16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32</w:t>
            </w:r>
          </w:p>
        </w:tc>
      </w:tr>
    </w:tbl>
    <w:p>
      <w:pPr>
        <w:numPr>
          <w:ilvl w:val="1"/>
          <w:numId w:val="0"/>
        </w:numPr>
        <w:snapToGrid w:val="0"/>
        <w:spacing w:after="180" w:line="260" w:lineRule="auto"/>
        <w:ind w:left="0" w:firstLine="0"/>
        <w:jc w:val="both"/>
        <w:rPr>
          <w:rFonts w:hint="default" w:eastAsia="宋体"/>
          <w:b/>
          <w:bCs/>
          <w:lang w:val="en-US" w:eastAsia="zh-CN"/>
        </w:rPr>
      </w:pPr>
    </w:p>
    <w:p>
      <w:pPr>
        <w:numPr>
          <w:ilvl w:val="1"/>
          <w:numId w:val="0"/>
        </w:numPr>
        <w:snapToGrid w:val="0"/>
        <w:spacing w:after="180" w:line="260" w:lineRule="auto"/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Proposal 3: Confirm the working assumption: BD/CCE budget of 960 kHz for (4,2), (4,1) is half that of X=8.</w:t>
      </w:r>
    </w:p>
    <w:p>
      <w:pPr>
        <w:pStyle w:val="75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 xml:space="preserve">Table 1: Maximum number </w:t>
      </w:r>
      <m:oMath>
        <m:sSubSup>
          <m:sSubSupP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M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/>
          <w:bCs w:val="0"/>
        </w:rPr>
        <w:t xml:space="preserve"> of monitored PDCCH candidates per </w:t>
      </w:r>
      <w:r>
        <w:rPr>
          <w:rFonts w:ascii="Times New Roman" w:hAnsi="Times New Roman"/>
          <w:b/>
          <w:bCs w:val="0"/>
          <w:sz w:val="20"/>
          <w:szCs w:val="20"/>
        </w:rPr>
        <w:t xml:space="preserve">slot group for combination </w:t>
      </w:r>
      <m:oMath>
        <m:d>
          <m:dPr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/>
                <w:bCs w:val="0"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Y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,μ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of monitored PDCCH candidates per </w:t>
            </w:r>
            <w:r>
              <w:rPr>
                <w:rFonts w:ascii="Times New Roman" w:hAnsi="Times New Roman"/>
                <w:b/>
                <w:bCs w:val="0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 and per serving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</w:tr>
    </w:tbl>
    <w:p>
      <w:pPr>
        <w:numPr>
          <w:ilvl w:val="1"/>
          <w:numId w:val="0"/>
        </w:numPr>
        <w:snapToGrid w:val="0"/>
        <w:spacing w:after="240" w:line="260" w:lineRule="auto"/>
        <w:ind w:left="0" w:firstLine="0"/>
        <w:jc w:val="both"/>
        <w:rPr>
          <w:rFonts w:hint="default" w:eastAsia="宋体"/>
          <w:b/>
          <w:bCs w:val="0"/>
          <w:lang w:val="en-US" w:eastAsia="zh-CN"/>
        </w:rPr>
      </w:pPr>
    </w:p>
    <w:p>
      <w:pPr>
        <w:pStyle w:val="75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 xml:space="preserve">Table </w:t>
      </w:r>
      <w:r>
        <w:rPr>
          <w:rFonts w:hint="default" w:ascii="Times New Roman" w:hAnsi="Times New Roman"/>
          <w:b/>
          <w:bCs w:val="0"/>
          <w:lang w:val="en-US" w:eastAsia="zh-CN"/>
        </w:rPr>
        <w:t>2</w:t>
      </w:r>
      <w:r>
        <w:rPr>
          <w:rFonts w:ascii="Times New Roman" w:hAnsi="Times New Roman"/>
          <w:b/>
          <w:bCs w:val="0"/>
        </w:rPr>
        <w:t xml:space="preserve">: Maximum number </w:t>
      </w:r>
      <m:oMath>
        <m:sSubSup>
          <m:sSubSupP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/>
          <w:bCs w:val="0"/>
        </w:rPr>
        <w:t xml:space="preserve"> of non-overlapped CCEs in a slot group for combination </w:t>
      </w:r>
      <m:oMath>
        <m:d>
          <m:dPr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/>
                <w:bCs w:val="0"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Maximum number of non-overlapped CCEs per </w:t>
            </w:r>
            <w:r>
              <w:rPr>
                <w:rFonts w:ascii="Times New Roman" w:hAnsi="Times New Roman"/>
                <w:b/>
                <w:bCs w:val="0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 and per serving cell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C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eastAsia="zh-CN"/>
                    </w:rPr>
                    <m:t>max,(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),μ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5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6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16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16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</w:tr>
    </w:tbl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3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Search space set configuration</w:t>
      </w:r>
    </w:p>
    <w:p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hint="default" w:eastAsia="宋体"/>
          <w:bCs/>
          <w:i w:val="0"/>
          <w:iCs w:val="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For </w:t>
      </w:r>
      <w:r>
        <w:rPr>
          <w:rFonts w:hint="eastAsia" w:eastAsia="宋体"/>
          <w:bCs/>
          <w:i/>
          <w:iCs/>
          <w:lang w:val="en-US" w:eastAsia="zh-CN"/>
        </w:rPr>
        <w:t xml:space="preserve">monitoringSlotPeriodicityAndOffset-r17 </w:t>
      </w:r>
      <w:r>
        <w:rPr>
          <w:rFonts w:hint="eastAsia" w:eastAsia="宋体"/>
          <w:bCs/>
          <w:i w:val="0"/>
          <w:iCs w:val="0"/>
          <w:lang w:val="en-US" w:eastAsia="zh-CN"/>
        </w:rPr>
        <w:t>and</w:t>
      </w:r>
      <w:r>
        <w:rPr>
          <w:rFonts w:hint="eastAsia" w:eastAsia="宋体"/>
          <w:bCs/>
          <w:i/>
          <w:iCs/>
          <w:lang w:val="en-US" w:eastAsia="zh-CN"/>
        </w:rPr>
        <w:t xml:space="preserve"> duration-r17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, according to the agreement made in 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RAN1#107bis e-meeting,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 other appropriate periodicity values { sl32, sl64, sl128, sl5120, sl10240, sl20480} are added in addition to the existing configurable values. Moreover, additional restrictions are needed to make sure that the values of periodicity/duration for multi-slot PDCCH monitoring in FR2-2 are an integral multiple of slot groups. The configuration of periodicity/duration is intended not only for Group (1) SSs but also for Group (2) SSs, so we suggest changing the wordings in the agreement </w:t>
      </w:r>
      <w:r>
        <w:rPr>
          <w:rFonts w:hint="default" w:eastAsia="宋体"/>
          <w:bCs/>
          <w:i w:val="0"/>
          <w:iCs w:val="0"/>
          <w:lang w:val="en-US" w:eastAsia="zh-CN"/>
        </w:rPr>
        <w:t>“The configured periodicity</w:t>
      </w:r>
      <w:r>
        <w:rPr>
          <w:rFonts w:hint="eastAsia" w:eastAsia="宋体"/>
          <w:bCs/>
          <w:i w:val="0"/>
          <w:iCs w:val="0"/>
          <w:lang w:val="en-US" w:eastAsia="zh-CN"/>
        </w:rPr>
        <w:t>/duration</w:t>
      </w:r>
      <w:r>
        <w:rPr>
          <w:rFonts w:hint="default" w:eastAsia="宋体"/>
          <w:bCs/>
          <w:i w:val="0"/>
          <w:iCs w:val="0"/>
          <w:lang w:val="en-US" w:eastAsia="zh-CN"/>
        </w:rPr>
        <w:t xml:space="preserve"> at least for Group (1) SSs is restricted to be an integer multiple of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ub>
        </m:sSub>
      </m:oMath>
      <w:r>
        <w:rPr>
          <w:rFonts w:hint="default" w:eastAsia="宋体"/>
          <w:bCs/>
          <w:i w:val="0"/>
          <w:iCs w:val="0"/>
          <w:lang w:val="en-US" w:eastAsia="zh-CN"/>
        </w:rPr>
        <w:t xml:space="preserve"> slots”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 to </w:t>
      </w:r>
      <w:r>
        <w:rPr>
          <w:rFonts w:hint="default" w:eastAsia="宋体"/>
          <w:bCs/>
          <w:i w:val="0"/>
          <w:iCs w:val="0"/>
          <w:lang w:val="en-US" w:eastAsia="zh-CN"/>
        </w:rPr>
        <w:t>“</w:t>
      </w:r>
      <w:r>
        <w:rPr>
          <w:rFonts w:hint="eastAsia" w:cs="Times New Roman"/>
          <w:b w:val="0"/>
          <w:bCs w:val="0"/>
          <w:kern w:val="0"/>
          <w:sz w:val="20"/>
          <w:szCs w:val="20"/>
          <w:lang w:val="en-US" w:eastAsia="zh-CN"/>
        </w:rPr>
        <w:t>The configured periodicity/duration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</w:t>
      </w:r>
      <w:r>
        <w:rPr>
          <w:rFonts w:hint="eastAsia" w:eastAsia="宋体"/>
          <w:b w:val="0"/>
          <w:bCs w:val="0"/>
          <w:i w:val="0"/>
          <w:iCs w:val="0"/>
          <w:lang w:val="en-US" w:eastAsia="zh-CN"/>
        </w:rPr>
        <w:t xml:space="preserve">is restricted to be an integer multiple of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ub>
        </m:sSub>
      </m:oMath>
      <w:r>
        <w:rPr>
          <w:rFonts w:hint="eastAsia" w:eastAsia="宋体"/>
          <w:b w:val="0"/>
          <w:bCs w:val="0"/>
          <w:i w:val="0"/>
          <w:iCs w:val="0"/>
          <w:lang w:val="en-US" w:eastAsia="zh-CN"/>
        </w:rPr>
        <w:t xml:space="preserve"> slots for both Group (1) SSs and Group (2) SSs</w:t>
      </w:r>
      <w:r>
        <w:rPr>
          <w:rFonts w:hint="default" w:eastAsia="宋体"/>
          <w:bCs/>
          <w:i w:val="0"/>
          <w:iCs w:val="0"/>
          <w:lang w:val="en-US" w:eastAsia="zh-CN"/>
        </w:rPr>
        <w:t>”</w:t>
      </w:r>
      <w:r>
        <w:rPr>
          <w:rFonts w:hint="eastAsia" w:eastAsia="宋体"/>
          <w:bCs/>
          <w:i w:val="0"/>
          <w:iCs w:val="0"/>
          <w:lang w:val="en-US" w:eastAsia="zh-CN"/>
        </w:rPr>
        <w:t>.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eastAsia="宋体"/>
          <w:bCs/>
          <w:i w:val="0"/>
          <w:iCs w:val="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4: The configured periodicity in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monitoringSlotPeriodicityAndOffset-r17 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>and duration in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duration-r17 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are restricted to be an integer multiple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ub>
        </m:sSub>
      </m:oMath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slots for both Group (1) SSs and Group (2) SSs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.</w:t>
      </w:r>
    </w:p>
    <w:p>
      <w:pPr>
        <w:widowControl w:val="0"/>
        <w:numPr>
          <w:ilvl w:val="-1"/>
          <w:numId w:val="0"/>
        </w:num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Moreover, the current definition of 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/>
        </w:rPr>
        <w:t>duration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is </w:t>
      </w:r>
      <w:r>
        <w:rPr>
          <w:rFonts w:ascii="Times New Roman" w:hAnsi="Times New Roman" w:eastAsia="宋体" w:cs="Times New Roman"/>
          <w:sz w:val="20"/>
          <w:szCs w:val="20"/>
          <w:lang w:val="en-US" w:eastAsia="zh-CN"/>
        </w:rPr>
        <w:t>“Number of</w:t>
      </w:r>
      <w:r>
        <w:rPr>
          <w:rFonts w:ascii="Times New Roman" w:hAnsi="Times New Roman" w:eastAsia="宋体" w:cs="Times New Roman"/>
          <w:sz w:val="20"/>
          <w:szCs w:val="20"/>
          <w:highlight w:val="cyan"/>
          <w:lang w:val="en-US" w:eastAsia="zh-CN"/>
        </w:rPr>
        <w:t xml:space="preserve"> consecutive slots</w:t>
      </w:r>
      <w:r>
        <w:rPr>
          <w:rFonts w:ascii="Times New Roman" w:hAnsi="Times New Roman" w:eastAsia="宋体" w:cs="Times New Roman"/>
          <w:sz w:val="20"/>
          <w:szCs w:val="20"/>
          <w:lang w:val="en-US" w:eastAsia="zh-CN"/>
        </w:rPr>
        <w:t xml:space="preserve"> that a SearchSpace lasts in every occasion”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. For slot-group based PDCCH monitoring, duration is restricted to be an integer multiple of </w:t>
      </w:r>
      <w:r>
        <w:rPr>
          <w:rFonts w:ascii="Times New Roman" w:hAnsi="Times New Roman" w:eastAsia="宋体" w:cs="Times New Roman"/>
          <w:iCs/>
          <w:sz w:val="20"/>
          <w:szCs w:val="20"/>
          <w:lang w:val="en-US"/>
        </w:rPr>
        <w:t>Xs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 w:eastAsia="zh-CN"/>
        </w:rPr>
        <w:t xml:space="preserve"> of a slot group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and its unit is slot based on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 the agreement made in 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RAN1#107bis e-meeting, we propose to clarify the definition of </w:t>
      </w:r>
      <w:r>
        <w:rPr>
          <w:rFonts w:hint="eastAsia" w:cs="Times New Roman"/>
          <w:i/>
          <w:iCs/>
          <w:kern w:val="0"/>
          <w:sz w:val="20"/>
          <w:szCs w:val="20"/>
          <w:lang w:val="en-US" w:eastAsia="zh-CN"/>
        </w:rPr>
        <w:t>duration-r17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as </w:t>
      </w:r>
      <w:r>
        <w:rPr>
          <w:rFonts w:hint="default" w:cs="Times New Roman"/>
          <w:kern w:val="0"/>
          <w:sz w:val="20"/>
          <w:szCs w:val="20"/>
          <w:lang w:val="en-US" w:eastAsia="zh-CN"/>
        </w:rPr>
        <w:t>“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number of slots that a </w:t>
      </w:r>
      <w:r>
        <w:rPr>
          <w:rFonts w:hint="eastAsia"/>
          <w:lang w:val="en-US" w:eastAsia="zh-CN"/>
        </w:rPr>
        <w:t>SearchSpace lasts for a couple of consecutive slot groups in every occasion</w:t>
      </w:r>
      <w:r>
        <w:rPr>
          <w:rFonts w:hint="default" w:cs="Times New Roman"/>
          <w:kern w:val="0"/>
          <w:sz w:val="20"/>
          <w:szCs w:val="20"/>
          <w:lang w:val="en-US" w:eastAsia="zh-CN"/>
        </w:rPr>
        <w:t>”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</w:t>
      </w:r>
      <w:r>
        <w:rPr>
          <w:rFonts w:hint="eastAsia"/>
          <w:i/>
          <w:iCs/>
          <w:lang w:val="en-US" w:eastAsia="zh-CN"/>
        </w:rPr>
        <w:t>duration-r17</w:t>
      </w:r>
      <w:r>
        <w:rPr>
          <w:rFonts w:hint="eastAsia"/>
          <w:lang w:val="en-US" w:eastAsia="zh-CN"/>
        </w:rPr>
        <w:t xml:space="preserve"> is absent, the UE applies the value 4 slots, except for DCI format 2_0.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cs="Times New Roman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Proposal 5: Further clarify the definition of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duration-r17 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as: Number of slots that a SearchSpace lasts for a couple of consecutive slot groups in every occasion. If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lang w:val="en-US" w:eastAsia="zh-CN"/>
        </w:rPr>
        <w:t>duration-r17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is absent, the UE applies the value 4 slots, except for DCI format 2_0.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snapToGrid w:val="0"/>
        <w:spacing w:before="137" w:beforeLines="50" w:after="180" w:line="260" w:lineRule="auto"/>
        <w:jc w:val="both"/>
        <w:rPr>
          <w:rFonts w:hint="default" w:eastAsia="宋体"/>
          <w:bCs/>
          <w:i w:val="0"/>
          <w:iCs w:val="0"/>
          <w:lang w:val="en-US" w:eastAsia="zh-CN"/>
        </w:rPr>
      </w:pP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Basically, we are fine with introducing a new parameter </w:t>
      </w:r>
      <w:r>
        <w:rPr>
          <w:rFonts w:hint="eastAsia" w:eastAsia="宋体"/>
          <w:i/>
          <w:iCs/>
          <w:lang w:val="en-US" w:eastAsia="zh-CN"/>
        </w:rPr>
        <w:t xml:space="preserve">monitoringSlotsWithinSlotGroup-r17 </w:t>
      </w:r>
      <w:r>
        <w:rPr>
          <w:rFonts w:hint="eastAsia" w:eastAsia="宋体"/>
          <w:i w:val="0"/>
          <w:iCs w:val="0"/>
          <w:lang w:val="en-US" w:eastAsia="zh-CN"/>
        </w:rPr>
        <w:t xml:space="preserve">to </w:t>
      </w:r>
      <w:r>
        <w:rPr>
          <w:rFonts w:hint="eastAsia" w:eastAsia="宋体"/>
          <w:lang w:val="en-US" w:eastAsia="zh-CN"/>
        </w:rPr>
        <w:t xml:space="preserve">indicate which slots have monitoring occasions within a slot group for SCS 480/960 kHz. However, we think the configuration of  parameter </w:t>
      </w:r>
      <w:r>
        <w:rPr>
          <w:rFonts w:hint="eastAsia" w:eastAsia="宋体"/>
          <w:i/>
          <w:iCs/>
          <w:lang w:val="en-US" w:eastAsia="zh-CN"/>
        </w:rPr>
        <w:t xml:space="preserve">monitoringSlotsWithinSlotGroup-r17 </w:t>
      </w:r>
      <w:r>
        <w:rPr>
          <w:rFonts w:hint="eastAsia" w:eastAsia="宋体"/>
          <w:lang w:val="en-US" w:eastAsia="zh-CN"/>
        </w:rPr>
        <w:t xml:space="preserve">should align with the configuration of offset in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Cs/>
          <w:i/>
          <w:iCs/>
          <w:lang w:val="en-US" w:eastAsia="zh-CN"/>
        </w:rPr>
        <w:t>monitoringSlotPeriodicityAndOffset-r17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 w:eastAsia="宋体"/>
          <w:bCs/>
          <w:i w:val="0"/>
          <w:iCs w:val="0"/>
          <w:lang w:val="en-US" w:eastAsia="zh-CN"/>
        </w:rPr>
        <w:t>The value range for the offset O is {0 .. Xp-1} slots for each periodicity value Xp and its unit is slot.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Times New Roman"/>
          <w:sz w:val="20"/>
          <w:szCs w:val="20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he offset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indicates the slot offset between PDCCH monitoring occasion and frame boundary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according to the current specification in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TS 38.213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as follows: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numPr>
                <w:ilvl w:val="0"/>
                <w:numId w:val="0"/>
              </w:numPr>
              <w:overflowPunct/>
              <w:autoSpaceDE w:val="0"/>
              <w:autoSpaceDN w:val="0"/>
              <w:adjustRightInd w:val="0"/>
              <w:snapToGrid w:val="0"/>
              <w:spacing w:after="180" w:line="260" w:lineRule="auto"/>
              <w:ind w:left="400" w:leftChars="200" w:firstLine="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>-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 xml:space="preserve"> slots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GB" w:bidi="ar-SA"/>
              </w:rPr>
              <w:t xml:space="preserve">and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 xml:space="preserve">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o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GB" w:eastAsia="en-GB" w:bidi="ar-SA"/>
              </w:rPr>
              <w:t xml:space="preserve"> slots, by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val="en-GB" w:eastAsia="en-GB" w:bidi="ar-SA"/>
              </w:rPr>
              <w:t>monitoringSlotPeriodicityAndOffset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after="180" w:line="260" w:lineRule="auto"/>
              <w:jc w:val="both"/>
              <w:rPr>
                <w:rFonts w:hint="default" w:eastAsia="宋体"/>
                <w:bCs/>
                <w:i w:val="0"/>
                <w:iCs w:val="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A UE determines a PDCCH monitoring occasion on an active DL BWP from the PDCCH monitoring periodicity, the PDCCH monitoring offset, and the PDCCH monitoring pattern within a slot. </w:t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/>
              </w:rPr>
              <w:t xml:space="preserve">For search space set </w:t>
            </w:r>
            <m:oMath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</w:rPr>
                <m:t>s</m:t>
              </m:r>
            </m:oMath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/>
              </w:rPr>
              <w:t xml:space="preserve">, the UE determines that </w:t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highlight w:val="cyan"/>
                <w:lang w:val="en-US"/>
              </w:rPr>
              <w:t>a PDCCH monitoring occasion(s)</w:t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/>
              </w:rPr>
              <w:t xml:space="preserve"> exists in a slot with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s,f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μ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 [4, TS 38.211] in a frame with number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 if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highlight w:val="cyan"/>
                <w:lang w:val="en-US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b>
              </m:sSub>
            </m:oMath>
            <w:r>
              <w:rPr>
                <w:rFonts w:ascii="Times New Roman" w:hAnsi="Times New Roman" w:eastAsia="等线" w:cs="Times New Roman"/>
                <w:color w:val="auto"/>
                <w:sz w:val="20"/>
                <w:szCs w:val="20"/>
                <w:highlight w:val="cyan"/>
                <w:lang w:val="en-US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 xml:space="preserve">slot 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frame, μ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p>
              </m:sSubSup>
            </m:oMath>
            <w:r>
              <w:rPr>
                <w:rFonts w:ascii="Times New Roman" w:hAnsi="Times New Roman" w:eastAsia="等线" w:cs="Times New Roman"/>
                <w:color w:val="auto"/>
                <w:sz w:val="20"/>
                <w:szCs w:val="20"/>
                <w:highlight w:val="cyan"/>
                <w:lang w:val="en-US"/>
              </w:rPr>
              <w:t>+</w:t>
            </w:r>
            <m:oMath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  <w:highlight w:val="cya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 xml:space="preserve">s,f 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μ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p>
              </m:sSubSup>
            </m:oMath>
            <w:r>
              <w:rPr>
                <w:rFonts w:ascii="Times New Roman" w:hAnsi="Times New Roman" w:eastAsia="等线" w:cs="Times New Roman"/>
                <w:color w:val="auto"/>
                <w:sz w:val="20"/>
                <w:szCs w:val="20"/>
                <w:highlight w:val="cyan"/>
                <w:lang w:val="en-US"/>
              </w:rPr>
              <w:t>-</w:t>
            </w:r>
            <m:oMath>
              <m:r>
                <m:rPr/>
                <w:rPr>
                  <w:rFonts w:ascii="Cambria Math" w:hAnsi="Cambria Math" w:eastAsia="等线"/>
                  <w:color w:val="auto"/>
                  <w:sz w:val="20"/>
                  <w:szCs w:val="20"/>
                  <w:highlight w:val="cy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o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b>
              </m:sSub>
            </m:oMath>
            <w:r>
              <w:rPr>
                <w:rFonts w:ascii="Times New Roman" w:hAnsi="Times New Roman" w:eastAsia="等线" w:cs="Times New Roman"/>
                <w:color w:val="auto"/>
                <w:sz w:val="20"/>
                <w:szCs w:val="20"/>
                <w:highlight w:val="cyan"/>
                <w:lang w:val="en-US"/>
              </w:rPr>
              <w:t>)</w:t>
            </w:r>
            <m:oMath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  <w:highlight w:val="cy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0"/>
                  <w:szCs w:val="20"/>
                  <w:highlight w:val="cyan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  <w:highlight w:val="cya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  <w:highlight w:val="cyan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  <w:highlight w:val="cyan"/>
                </w:rPr>
                <m:t>=0</m:t>
              </m:r>
            </m:oMath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fldChar w:fldCharType="begin"/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n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f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b>
                  </m:sSub>
                  <m:sSubSup>
                    <m:sSubSupP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N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slot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frame,μ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  <m:t xml:space="preserve">+</m:t>
                  </m:r>
                  <m:sSubSup>
                    <m:sSubSupP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n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s,f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μ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  <m:t xml:space="preserve">−</m:t>
                  </m:r>
                  <m:sSub>
                    <m:sSubP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o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  <m:t xml:space="preserve">p,s</m:t>
                      </m:r>
                      <m:ctrlPr>
                        <w:rPr>
                          <w:rFonts w:ascii="Cambria Math" w:hAnsi="Cambria Math" w:eastAsia="Yu Mincho"/>
                          <w:color w:val="auto"/>
                          <w:sz w:val="20"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Yu Mincho"/>
                  <w:color w:val="auto"/>
                  <w:sz w:val="20"/>
                  <w:szCs w:val="20"/>
                </w:rPr>
                <m:t xml:space="preserve">mod </m:t>
              </m:r>
              <m:sSub>
                <m:sSubPr>
                  <m:ctrlPr>
                    <w:rPr>
                      <w:rFonts w:ascii="Cambria Math" w:hAnsi="Cambria Math" w:eastAsia="Yu Mincho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  <m:t xml:space="preserve">k</m:t>
                  </m:r>
                  <m:ctrlPr>
                    <w:rPr>
                      <w:rFonts w:ascii="Cambria Math" w:hAnsi="Cambria Math" w:eastAsia="Yu Mincho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Yu Mincho"/>
                      <w:color w:val="auto"/>
                      <w:sz w:val="20"/>
                      <w:szCs w:val="20"/>
                    </w:rPr>
                    <m:t xml:space="preserve">p,s</m:t>
                  </m:r>
                  <m:ctrlPr>
                    <w:rPr>
                      <w:rFonts w:ascii="Cambria Math" w:hAnsi="Cambria Math" w:eastAsia="Yu Mincho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Yu Mincho"/>
                  <w:color w:val="auto"/>
                  <w:sz w:val="20"/>
                  <w:szCs w:val="20"/>
                </w:rPr>
                <m:t xml:space="preserve">=0</m:t>
              </m:r>
            </m:oMath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instrText xml:space="preserve"> </w:instrText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fldChar w:fldCharType="end"/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t xml:space="preserve">. The UE monitors PDCCH candidates for search space set </w:t>
            </w:r>
            <m:oMath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</w:rPr>
                <m:t>s</m:t>
              </m:r>
            </m:oMath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 consecutive slots, starting from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s,f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μ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, and does not monitor </w:t>
            </w:r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 w:eastAsia="ja-JP"/>
              </w:rPr>
              <w:t xml:space="preserve">PDCCH candidates for search space set </w:t>
            </w:r>
            <m:oMath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</w:rPr>
                <m:t>s</m:t>
              </m:r>
            </m:oMath>
            <w:r>
              <w:rPr>
                <w:rFonts w:ascii="Times New Roman" w:hAnsi="Times New Roman" w:eastAsia="Yu Mincho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for the next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auto"/>
                  <w:sz w:val="20"/>
                  <w:szCs w:val="20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auto"/>
                      <w:sz w:val="20"/>
                      <w:szCs w:val="20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color w:val="auto"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/>
              </w:rPr>
              <w:t xml:space="preserve"> consecutive slots. </w:t>
            </w: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before="137" w:beforeLines="50" w:after="180" w:line="260" w:lineRule="auto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other words, the slot offset between the first slot in the slot group indicated in </w:t>
      </w:r>
      <w:r>
        <w:rPr>
          <w:rFonts w:hint="eastAsia" w:eastAsia="宋体"/>
          <w:i/>
          <w:iCs/>
          <w:lang w:val="en-US" w:eastAsia="zh-CN"/>
        </w:rPr>
        <w:t>monitoringSlotsWithinSlotGroup-r17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for a PDCCH monitoring occasion and subframe boundary is equal to the offset indicated in </w:t>
      </w:r>
      <w:r>
        <w:rPr>
          <w:rFonts w:hint="eastAsia" w:eastAsia="宋体"/>
          <w:bCs/>
          <w:i/>
          <w:iCs/>
          <w:lang w:val="en-US" w:eastAsia="zh-CN"/>
        </w:rPr>
        <w:t>monitoringSlotPeriodicityAndOffset-r17</w:t>
      </w:r>
      <w:r>
        <w:rPr>
          <w:rFonts w:hint="eastAsia" w:eastAsia="宋体" w:cs="Times New Roman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6: If new parameter </w:t>
      </w:r>
      <w:r>
        <w:rPr>
          <w:rFonts w:hint="eastAsia" w:eastAsia="宋体"/>
          <w:b/>
          <w:bCs/>
          <w:i/>
          <w:iCs/>
          <w:lang w:val="en-US" w:eastAsia="zh-CN"/>
        </w:rPr>
        <w:t>monitoringSlotsWithinSlotGroup-r17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 is introduced,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the offset indicated in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monitoringSlotPeriodicityAndOffset-r17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is equal to the slot offset between the subframe boundary and the first slot in the slot group indicated in </w:t>
      </w:r>
      <w:r>
        <w:rPr>
          <w:rFonts w:hint="eastAsia" w:eastAsia="宋体"/>
          <w:b/>
          <w:bCs/>
          <w:i/>
          <w:iCs/>
          <w:lang w:val="en-US" w:eastAsia="zh-CN"/>
        </w:rPr>
        <w:t>monitoringSlotsWithinSlotGroup-r17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for a PDCCH monitoring occasion.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lang w:val="en-US" w:eastAsia="zh-CN"/>
        </w:rPr>
        <w:t>2.4  Search space set group switching</w:t>
      </w:r>
    </w:p>
    <w:p>
      <w:pPr>
        <w:widowControl w:val="0"/>
        <w:autoSpaceDE w:val="0"/>
        <w:autoSpaceDN w:val="0"/>
        <w:adjustRightInd w:val="0"/>
        <w:spacing w:after="120"/>
        <w:ind w:left="0" w:leftChars="0" w:firstLine="0" w:firstLineChars="0"/>
        <w:jc w:val="both"/>
        <w:rPr>
          <w:rFonts w:hint="eastAsia"/>
          <w:lang w:eastAsia="zh-CN"/>
        </w:rPr>
      </w:pPr>
      <w:r>
        <w:rPr>
          <w:lang w:eastAsia="zh-CN"/>
        </w:rPr>
        <w:t>Search Space Set Group</w:t>
      </w:r>
      <w:r>
        <w:rPr>
          <w:rFonts w:hint="eastAsia"/>
          <w:lang w:val="en-US" w:eastAsia="zh-CN"/>
        </w:rPr>
        <w:t xml:space="preserve"> (SSSG)</w:t>
      </w:r>
      <w:r>
        <w:rPr>
          <w:lang w:eastAsia="zh-CN"/>
        </w:rPr>
        <w:t xml:space="preserve"> Switching was introduced in Rel-16 NR-U.</w:t>
      </w:r>
      <w:r>
        <w:rPr>
          <w:rFonts w:hint="eastAsia"/>
          <w:lang w:val="en-US" w:eastAsia="zh-CN"/>
        </w:rPr>
        <w:t xml:space="preserve"> In order to reduce access delay and save power, the SSSG monitoring periodicity/granularity is increased or decreased according to the channel access procedure. UE has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frequen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 PDCCH monitoring outside gNB-COT and infrequent PDCCH monitoring inside COT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The existing </w:t>
      </w:r>
      <w:r>
        <w:rPr>
          <w:lang w:eastAsia="zh-CN"/>
        </w:rPr>
        <w:t>SSSG switching</w:t>
      </w:r>
      <w:r>
        <w:rPr>
          <w:rFonts w:hint="eastAsia"/>
          <w:lang w:eastAsia="zh-CN"/>
        </w:rPr>
        <w:t xml:space="preserve"> is applied for SCS 15/30/60 kHz</w:t>
      </w:r>
      <w:r>
        <w:rPr>
          <w:rFonts w:hint="eastAsia"/>
          <w:lang w:val="en-US" w:eastAsia="zh-CN"/>
        </w:rPr>
        <w:t>, for SSSG switching on large SCS values like 120</w:t>
      </w:r>
      <w:r>
        <w:rPr>
          <w:rFonts w:hint="eastAsia"/>
          <w:lang w:eastAsia="zh-CN"/>
        </w:rPr>
        <w:t xml:space="preserve">, 480 and 960 </w:t>
      </w:r>
      <w:r>
        <w:rPr>
          <w:rFonts w:hint="eastAsia"/>
          <w:lang w:val="en-US" w:eastAsia="zh-CN"/>
        </w:rPr>
        <w:t>kHz, UE need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  <w:lang w:eastAsia="zh-CN"/>
        </w:rPr>
        <w:t xml:space="preserve">dynamically change between two PDCCH monitoring </w:t>
      </w:r>
      <w:r>
        <w:rPr>
          <w:rFonts w:hint="eastAsia"/>
          <w:lang w:val="en-US" w:eastAsia="zh-CN"/>
        </w:rPr>
        <w:t xml:space="preserve">periodicity/granularity. </w:t>
      </w:r>
      <w:r>
        <w:rPr>
          <w:rFonts w:hint="eastAsia"/>
          <w:lang w:eastAsia="zh-CN"/>
        </w:rPr>
        <w:t xml:space="preserve"> </w:t>
      </w:r>
    </w:p>
    <w:p>
      <w:pPr>
        <w:widowControl w:val="0"/>
        <w:autoSpaceDE w:val="0"/>
        <w:autoSpaceDN w:val="0"/>
        <w:adjustRightInd w:val="0"/>
        <w:spacing w:after="120"/>
        <w:ind w:left="0" w:leftChars="0" w:firstLine="0" w:firstLineChars="0"/>
        <w:jc w:val="both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>Besides, t</w:t>
      </w:r>
      <w:r>
        <w:rPr>
          <w:rFonts w:hint="eastAsia"/>
          <w:lang w:eastAsia="zh-CN"/>
        </w:rPr>
        <w:t>he switching time</w:t>
      </w:r>
      <w:r>
        <w:rPr>
          <w:rFonts w:hint="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switcℎ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/>
          <w:lang w:eastAsia="zh-CN"/>
        </w:rPr>
        <w:t xml:space="preserve"> with all SCSs supported in above 52.6 GHz needs to be defined if SSSG switching is agreed to be supported. </w:t>
      </w:r>
      <w:r>
        <w:rPr>
          <w:rFonts w:hint="eastAsia"/>
          <w:lang w:val="en-US" w:eastAsia="zh-CN"/>
        </w:rPr>
        <w:t>We agree with th</w:t>
      </w:r>
      <w:r>
        <w:rPr>
          <w:rFonts w:hint="default" w:ascii="Times New Roman" w:hAnsi="Times New Roman" w:cs="Times New Roman"/>
          <w:sz w:val="20"/>
          <w:szCs w:val="20"/>
        </w:rPr>
        <w:t xml:space="preserve">e following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working assumption made in RAN1#107 e-meeting indicating </w:t>
      </w:r>
      <w:r>
        <w:rPr>
          <w:rFonts w:hint="default" w:ascii="Times New Roman" w:hAnsi="Times New Roman" w:cs="Times New Roman"/>
          <w:sz w:val="20"/>
          <w:szCs w:val="20"/>
        </w:rPr>
        <w:t xml:space="preserve">values </w:t>
      </w:r>
      <w:r>
        <w:rPr>
          <w:rFonts w:hint="eastAsia" w:eastAsia="宋体" w:cs="Times New Roman"/>
          <w:sz w:val="20"/>
          <w:szCs w:val="20"/>
          <w:lang w:val="en-US" w:eastAsia="zh-CN"/>
        </w:rPr>
        <w:t>of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QUOTE </w:instrText>
      </w:r>
      <w:r>
        <w:rPr>
          <w:rFonts w:hint="default" w:ascii="Times New Roman" w:hAnsi="Times New Roman" w:cs="Times New Roman"/>
          <w:position w:val="-5"/>
          <w:sz w:val="20"/>
          <w:szCs w:val="20"/>
        </w:rPr>
        <w:pict>
          <v:shape id="_x0000_i1025" o:spt="75" type="#_x0000_t75" style="height:12pt;width:30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A07BC&quot;/&gt;&lt;wsp:rsid wsp:val=&quot;005A210D&quot;/&gt;&lt;wsp:rsid wsp:val=&quot;005B4E30&quot;/&gt;&lt;wsp:rsid wsp:val=&quot;005D4467&quot;/&gt;&lt;wsp:rsid wsp:val=&quot;005E0D2B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3F5D&quot;/&gt;&lt;wsp:rsid wsp:val=&quot;006845E0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2254F&quot;/&gt;&lt;wsp:rsid wsp:val=&quot;00823D01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640E8&quot;/&gt;&lt;wsp:rsid wsp:val=&quot;00B73780&quot;/&gt;&lt;wsp:rsid wsp:val=&quot;00B75DE1&quot;/&gt;&lt;wsp:rsid wsp:val=&quot;00B846F0&quot;/&gt;&lt;wsp:rsid wsp:val=&quot;00B87127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5E0D2B&quot; wsp:rsidP=&quot;005E0D2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sz w:val="20"/>
          <w:szCs w:val="20"/>
        </w:rPr>
        <w:instrText xml:space="preserve">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switcℎ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ascii="Cambria Math" w:hAnsi="Cambria Math" w:eastAsia="宋体"/>
          <w:i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for 120/480/960 kHz</w:t>
      </w:r>
      <w:r>
        <w:rPr>
          <w:rFonts w:hint="eastAsia" w:eastAsia="宋体" w:cs="Times New Roman"/>
          <w:sz w:val="20"/>
          <w:szCs w:val="20"/>
          <w:lang w:val="en-US" w:eastAsia="zh-CN"/>
        </w:rPr>
        <w:t>.</w:t>
      </w:r>
    </w:p>
    <w:p>
      <w:pPr>
        <w:pStyle w:val="125"/>
        <w:widowControl w:val="0"/>
        <w:numPr>
          <w:ilvl w:val="0"/>
          <w:numId w:val="13"/>
        </w:numPr>
        <w:snapToGrid w:val="0"/>
        <w:spacing w:line="260" w:lineRule="auto"/>
        <w:ind w:left="726" w:leftChars="0" w:hanging="363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Support only search space set group switching processing capability 1 with the following values</w:t>
      </w:r>
    </w:p>
    <w:tbl>
      <w:tblPr>
        <w:tblStyle w:val="25"/>
        <w:tblW w:w="0" w:type="auto"/>
        <w:tblInd w:w="1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Minimum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26" o:spt="75" type="#_x0000_t75" style="height:10.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3F5D&quot;/&gt;&lt;wsp:rsid wsp:val=&quot;006845E0&quot;/&gt;&lt;wsp:rsid wsp:val=&quot;006869F0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2254F&quot;/&gt;&lt;wsp:rsid wsp:val=&quot;00823D01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640E8&quot;/&gt;&lt;wsp:rsid wsp:val=&quot;00B73780&quot;/&gt;&lt;wsp:rsid wsp:val=&quot;00B75DE1&quot;/&gt;&lt;wsp:rsid wsp:val=&quot;00B846F0&quot;/&gt;&lt;wsp:rsid wsp:val=&quot;00B87127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6869F0&quot; wsp:rsidP=&quot;006869F0&quot;&gt;&lt;m:oMathPara&gt;&lt;m:oMath&gt;&lt;m:sSub&gt;&lt;m:sSubPr&gt;&lt;m:ctrlPr&gt;&lt;w:rPr&gt;&lt;w:rFonts w:ascii=&quot;Cambria Math&quot; w:h-ansi=&quot;Cambria Math&quot; w:cs=&quot;Arial&quot;/&gt;&lt;wx:font wx:val=&quot;Cambria Math&quot;/&gt;&lt;w:sz-cs w:val=&quot;18&quot;/&gt;&lt;/w:rPr&gt;&lt;/m:ctrlPr&gt;&lt;/m:sSubPr&gt;&lt;m:e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P&lt;/m:t&gt;&lt;/m:r&gt;&lt;/m:e&gt;&lt;m:sub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switcℎ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value for</w:t>
            </w:r>
          </w:p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UE processing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capability 1 [symbols]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320</w:t>
            </w:r>
          </w:p>
        </w:tc>
      </w:tr>
    </w:tbl>
    <w:p>
      <w:pPr>
        <w:jc w:val="both"/>
        <w:rPr>
          <w:lang w:eastAsia="zh-CN"/>
        </w:rPr>
      </w:pPr>
    </w:p>
    <w:p>
      <w:pPr>
        <w:spacing w:after="0" w:line="260" w:lineRule="auto"/>
        <w:jc w:val="left"/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eastAsia"/>
          <w:b/>
          <w:bCs w:val="0"/>
          <w:lang w:val="en-US" w:eastAsia="zh-CN"/>
        </w:rPr>
        <w:t xml:space="preserve">Proposal 7: </w:t>
      </w:r>
      <w:r>
        <w:rPr>
          <w:rFonts w:hint="eastAsia" w:eastAsia="宋体"/>
          <w:b/>
          <w:bCs/>
          <w:lang w:val="en-US" w:eastAsia="zh-CN"/>
        </w:rPr>
        <w:t xml:space="preserve">Confirm the working assumption: </w:t>
      </w:r>
      <w:r>
        <w:rPr>
          <w:rFonts w:hint="default" w:ascii="Times New Roman" w:hAnsi="Times New Roman" w:cs="Times New Roman"/>
          <w:b/>
          <w:sz w:val="20"/>
          <w:szCs w:val="20"/>
        </w:rPr>
        <w:t>Support only search space set group switching processing capability 1 with the following values</w:t>
      </w:r>
    </w:p>
    <w:tbl>
      <w:tblPr>
        <w:tblStyle w:val="25"/>
        <w:tblW w:w="0" w:type="auto"/>
        <w:tblInd w:w="1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Minimum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27" o:spt="75" type="#_x0000_t75" style="height:10.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3F5D&quot;/&gt;&lt;wsp:rsid wsp:val=&quot;006845E0&quot;/&gt;&lt;wsp:rsid wsp:val=&quot;006869F0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2254F&quot;/&gt;&lt;wsp:rsid wsp:val=&quot;00823D01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640E8&quot;/&gt;&lt;wsp:rsid wsp:val=&quot;00B73780&quot;/&gt;&lt;wsp:rsid wsp:val=&quot;00B75DE1&quot;/&gt;&lt;wsp:rsid wsp:val=&quot;00B846F0&quot;/&gt;&lt;wsp:rsid wsp:val=&quot;00B87127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6869F0&quot; wsp:rsidP=&quot;006869F0&quot;&gt;&lt;m:oMathPara&gt;&lt;m:oMath&gt;&lt;m:sSub&gt;&lt;m:sSubPr&gt;&lt;m:ctrlPr&gt;&lt;w:rPr&gt;&lt;w:rFonts w:ascii=&quot;Cambria Math&quot; w:h-ansi=&quot;Cambria Math&quot; w:cs=&quot;Arial&quot;/&gt;&lt;wx:font wx:val=&quot;Cambria Math&quot;/&gt;&lt;w:sz-cs w:val=&quot;18&quot;/&gt;&lt;/w:rPr&gt;&lt;/m:ctrlPr&gt;&lt;/m:sSubPr&gt;&lt;m:e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P&lt;/m:t&gt;&lt;/m:r&gt;&lt;/m:e&gt;&lt;m:sub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switcℎ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value for</w:t>
            </w:r>
          </w:p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UE processing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capability 1 [symbols]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320</w:t>
            </w:r>
          </w:p>
        </w:tc>
      </w:tr>
    </w:tbl>
    <w:p>
      <w:pPr>
        <w:spacing w:after="0" w:line="260" w:lineRule="auto"/>
        <w:jc w:val="left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autoSpaceDE w:val="0"/>
        <w:autoSpaceDN w:val="0"/>
        <w:adjustRightInd w:val="0"/>
        <w:spacing w:after="120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SSSG switching boundary is aligned with the slot boundary in Rel-15/16, the UE switches from one SSSG to another SSSG at the first slot after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switcℎ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/>
          <w:lang w:val="en-US" w:eastAsia="zh-CN"/>
        </w:rPr>
        <w:t xml:space="preserve"> symbols. Similar rule can be extended for multi-slot PDCCH monitoring in Rel-17, the SSSG switching boundary, i.e. the time of applying the switching, is aligned with the boundary of a slot group to avoid increasing complexity.</w:t>
      </w:r>
    </w:p>
    <w:p>
      <w:pPr>
        <w:spacing w:after="180" w:line="260" w:lineRule="auto"/>
        <w:jc w:val="both"/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eastAsia"/>
          <w:b/>
          <w:bCs w:val="0"/>
          <w:lang w:val="en-US" w:eastAsia="zh-CN"/>
        </w:rPr>
        <w:t>Proposal 8: For multi-slot PDCCH monitoring in Rel-17, the SSSG switching boundary, i.e. the time of applying the switching, is aligned with the boundary of a slot group to avoid increasing complexity.</w:t>
      </w:r>
    </w:p>
    <w:p>
      <w:pPr>
        <w:spacing w:after="180" w:line="260" w:lineRule="auto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Moreover, e</w:t>
      </w:r>
      <w:r>
        <w:rPr>
          <w:rFonts w:hint="eastAsia"/>
          <w:highlight w:val="none"/>
          <w:lang w:val="en-US" w:eastAsia="zh-CN"/>
        </w:rPr>
        <w:t xml:space="preserve">ven though we think </w:t>
      </w:r>
      <w:r>
        <w:rPr>
          <w:rFonts w:hint="eastAsia" w:ascii="Times New Roman" w:hAnsi="Times New Roman"/>
          <w:sz w:val="21"/>
          <w:szCs w:val="21"/>
          <w:lang w:eastAsia="zh-CN"/>
        </w:rPr>
        <w:t>SSSG switching between two different capabilities of multi-slot PDCCH monitoring for 480/960kHz should be supported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, </w:t>
      </w:r>
      <w:r>
        <w:rPr>
          <w:rFonts w:hint="eastAsia"/>
          <w:b w:val="0"/>
          <w:bCs w:val="0"/>
          <w:lang w:val="en-US" w:eastAsia="zh-CN"/>
        </w:rPr>
        <w:t>in our understanding, t</w:t>
      </w:r>
      <w:r>
        <w:rPr>
          <w:highlight w:val="none"/>
          <w:lang w:eastAsia="zh-CN"/>
        </w:rPr>
        <w:t xml:space="preserve">he UE expects to monitor PDCCH according to the same </w:t>
      </w:r>
      <w:r>
        <w:rPr>
          <w:highlight w:val="none"/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rPr>
          <w:highlight w:val="none"/>
          <w:lang w:eastAsia="zh-CN"/>
        </w:rPr>
        <w:t>in every slot</w:t>
      </w:r>
      <w:r>
        <w:rPr>
          <w:rFonts w:hint="eastAsia"/>
          <w:highlight w:val="none"/>
          <w:lang w:val="en-US" w:eastAsia="zh-CN"/>
        </w:rPr>
        <w:t xml:space="preserve"> group</w:t>
      </w:r>
      <w:r>
        <w:rPr>
          <w:highlight w:val="none"/>
          <w:lang w:eastAsia="zh-CN"/>
        </w:rPr>
        <w:t xml:space="preserve"> on the active DL BWP of a cell</w:t>
      </w:r>
      <w:r>
        <w:rPr>
          <w:rFonts w:hint="eastAsia"/>
          <w:highlight w:val="none"/>
          <w:lang w:val="en-US" w:eastAsia="zh-CN"/>
        </w:rPr>
        <w:t xml:space="preserve">. Therefore, we can conclude that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SSSG is only supported between SSSGs that have the same</w:t>
      </w:r>
      <w:r>
        <w:rPr>
          <w:rFonts w:hint="eastAsia" w:ascii="Times New Roman" w:hAnsi="Times New Roman"/>
          <w:sz w:val="21"/>
          <w:szCs w:val="21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highlight w:val="none"/>
          <w:lang w:eastAsia="zh-CN"/>
        </w:rPr>
        <w:t xml:space="preserve"> PDCCH</w:t>
      </w:r>
      <w:r>
        <w:rPr>
          <w:rFonts w:hint="eastAsia"/>
          <w:highlight w:val="none"/>
          <w:lang w:val="en-US" w:eastAsia="zh-CN"/>
        </w:rPr>
        <w:t xml:space="preserve"> monitoring capability </w:t>
      </w:r>
      <w:r>
        <w:rPr>
          <w:highlight w:val="none"/>
          <w:lang w:eastAsia="zh-CN"/>
        </w:rPr>
        <w:t>on the active DL BWP of a cell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 w:ascii="Cambria Math" w:hAnsi="Cambria Math" w:eastAsia="宋体"/>
          <w:i w:val="0"/>
          <w:lang w:val="en-US" w:eastAsia="zh-CN"/>
        </w:rPr>
        <w:t xml:space="preserve"> </w:t>
      </w:r>
    </w:p>
    <w:p>
      <w:pPr>
        <w:spacing w:after="180" w:line="260" w:lineRule="auto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Proposal 9: Conclude that 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SSSG is only supported between SSSGs that have the same</w:t>
      </w:r>
      <w:r>
        <w:rPr>
          <w:rFonts w:hint="eastAsia" w:ascii="Times New Roman" w:hAnsi="Times New Roman"/>
          <w:b/>
          <w:bCs/>
          <w:sz w:val="21"/>
          <w:szCs w:val="21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b/>
          <w:bCs/>
          <w:highlight w:val="none"/>
          <w:lang w:eastAsia="zh-CN"/>
        </w:rPr>
        <w:t xml:space="preserve"> PDCCH</w:t>
      </w:r>
      <w:r>
        <w:rPr>
          <w:rFonts w:hint="eastAsia"/>
          <w:b/>
          <w:bCs/>
          <w:highlight w:val="none"/>
          <w:lang w:val="en-US" w:eastAsia="zh-CN"/>
        </w:rPr>
        <w:t xml:space="preserve"> monitoring capability </w:t>
      </w:r>
      <w:r>
        <w:rPr>
          <w:b/>
          <w:bCs/>
          <w:highlight w:val="none"/>
          <w:lang w:eastAsia="zh-CN"/>
        </w:rPr>
        <w:t>on the active DL BWP of a cell</w:t>
      </w:r>
      <w:r>
        <w:rPr>
          <w:rFonts w:hint="eastAsia"/>
          <w:b/>
          <w:bCs/>
          <w:highlight w:val="none"/>
          <w:lang w:val="en-US" w:eastAsia="zh-CN"/>
        </w:rPr>
        <w:t>.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5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Multi-slot PDCCH monitoring for multiple serving cells</w:t>
      </w:r>
    </w:p>
    <w:p>
      <w:pPr>
        <w:widowControl/>
        <w:numPr>
          <w:ilvl w:val="0"/>
          <w:numId w:val="0"/>
        </w:numPr>
        <w:spacing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principle, we think serving cells with the same PDCCH monitoring type including multi-slot-based capability should be grouped together for further BD/CCE budget calculation. </w:t>
      </w:r>
      <w:r>
        <w:rPr>
          <w:rFonts w:hint="eastAsia"/>
          <w:sz w:val="21"/>
          <w:szCs w:val="21"/>
          <w:lang w:eastAsia="zh-CN"/>
        </w:rPr>
        <w:t xml:space="preserve">Since the value of </w:t>
      </w:r>
      <w:r>
        <w:rPr>
          <w:lang w:eastAsia="zh-CN"/>
        </w:rPr>
        <w:t>Ys</w:t>
      </w:r>
      <w:r>
        <w:rPr>
          <w:rFonts w:hint="eastAsia"/>
          <w:sz w:val="21"/>
          <w:szCs w:val="21"/>
          <w:lang w:eastAsia="zh-CN"/>
        </w:rPr>
        <w:t xml:space="preserve"> in </w:t>
      </w:r>
      <w:r>
        <w:rPr>
          <w:lang w:eastAsia="zh-CN"/>
        </w:rPr>
        <w:t>(Xs, Ys)</w:t>
      </w:r>
      <w:r>
        <w:rPr>
          <w:rFonts w:hint="eastAsia"/>
          <w:sz w:val="21"/>
          <w:szCs w:val="21"/>
          <w:lang w:eastAsia="zh-CN"/>
        </w:rPr>
        <w:t xml:space="preserve"> does not impact the maximum BD/CCE budget, </w:t>
      </w:r>
      <w:r>
        <w:rPr>
          <w:lang w:eastAsia="zh-CN"/>
        </w:rPr>
        <w:t>the serving cells with the same SCS and Xs value are grouped together to follow a total BD/CCE budget</w:t>
      </w:r>
      <w:r>
        <w:rPr>
          <w:rFonts w:hint="eastAsia"/>
          <w:lang w:eastAsia="zh-CN"/>
        </w:rPr>
        <w:t>.</w:t>
      </w:r>
    </w:p>
    <w:p>
      <w:pPr>
        <w:widowControl/>
        <w:spacing w:before="0" w:line="260" w:lineRule="auto"/>
        <w:jc w:val="left"/>
        <w:rPr>
          <w:b w:val="0"/>
          <w:bCs w:val="0"/>
          <w:lang w:val="en-GB"/>
        </w:rPr>
      </w:pPr>
      <w:r>
        <w:rPr>
          <w:rFonts w:hint="eastAsia"/>
          <w:b/>
          <w:bCs w:val="0"/>
          <w:lang w:val="en-US" w:eastAsia="zh-CN"/>
        </w:rPr>
        <w:t xml:space="preserve">Proposal 10: For a group of serving cells with multi-slot PDCCH monitoring capability, the serving cells with the same SCS and </w:t>
      </w:r>
      <w:r>
        <w:rPr>
          <w:b/>
          <w:bCs/>
          <w:lang w:eastAsia="zh-CN"/>
        </w:rPr>
        <w:t>Xs</w:t>
      </w:r>
      <w:r>
        <w:rPr>
          <w:rFonts w:hint="eastAsia"/>
          <w:b/>
          <w:bCs w:val="0"/>
          <w:lang w:val="en-US" w:eastAsia="zh-CN"/>
        </w:rPr>
        <w:t xml:space="preserve"> value are grouped together to follow a total BD/CCE budget.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 PDCCH monitoring enhancements for NR above 52.6 GHz band operation and have the following proposals.</w:t>
      </w:r>
    </w:p>
    <w:p>
      <w:pPr>
        <w:numPr>
          <w:ilvl w:val="-1"/>
          <w:numId w:val="0"/>
        </w:numPr>
        <w:snapToGrid/>
        <w:spacing w:after="180" w:line="240" w:lineRule="auto"/>
        <w:ind w:left="0" w:firstLine="0"/>
        <w:jc w:val="left"/>
        <w:rPr>
          <w:rFonts w:hint="default" w:ascii="Times New Roman" w:hAnsi="Times New Roman" w:cs="Times New Roman"/>
          <w:b/>
          <w:bCs/>
          <w:i w:val="0"/>
          <w:lang w:val="en-US" w:eastAsia="zh-CN"/>
        </w:rPr>
      </w:pPr>
      <w:r>
        <w:rPr>
          <w:rFonts w:hint="eastAsia" w:cs="Times New Roman"/>
          <w:b/>
          <w:bCs/>
          <w:i w:val="0"/>
          <w:lang w:val="en-US" w:eastAsia="zh-CN"/>
        </w:rPr>
        <w:t xml:space="preserve">Proposal 1: Further clarify in </w:t>
      </w:r>
      <w:r>
        <w:rPr>
          <w:rFonts w:hint="eastAsia" w:eastAsia="宋体"/>
          <w:b/>
          <w:bCs/>
          <w:lang w:val="en-US" w:eastAsia="zh-CN"/>
        </w:rPr>
        <w:t>TS 38.213</w:t>
      </w:r>
      <w:r>
        <w:rPr>
          <w:rFonts w:hint="eastAsia" w:cs="Times New Roman"/>
          <w:b/>
          <w:bCs/>
          <w:i w:val="0"/>
          <w:lang w:val="en-US" w:eastAsia="zh-CN"/>
        </w:rPr>
        <w:t xml:space="preserve"> that if the UE is </w:t>
      </w:r>
      <w:r>
        <w:rPr>
          <w:b/>
          <w:bCs/>
          <w:lang w:val="en-US"/>
        </w:rPr>
        <w:t xml:space="preserve">not provided </w:t>
      </w:r>
      <w:r>
        <w:rPr>
          <w:b/>
          <w:bCs/>
          <w:i/>
          <w:lang w:val="en-US"/>
        </w:rPr>
        <w:t>monitoringCapabilityConfig</w:t>
      </w:r>
      <w:r>
        <w:rPr>
          <w:rFonts w:hint="eastAsia" w:cs="Times New Roman"/>
          <w:b/>
          <w:bCs/>
          <w:i w:val="0"/>
          <w:lang w:val="en-US" w:eastAsia="zh-CN"/>
        </w:rPr>
        <w:t xml:space="preserve"> or not configured with any monitoring capability </w:t>
      </w:r>
      <w:r>
        <w:rPr>
          <w:rFonts w:hint="eastAsia" w:eastAsia="宋体"/>
          <w:b/>
          <w:bCs/>
          <w:lang w:val="en-US" w:eastAsia="zh-CN"/>
        </w:rPr>
        <w:t xml:space="preserve">combinations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 w:eastAsia="宋体"/>
          <w:b/>
          <w:bCs/>
          <w:lang w:val="en-US" w:eastAsia="zh-CN"/>
        </w:rPr>
        <w:t xml:space="preserve">,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 w:ascii="Cambria Math" w:hAnsi="Cambria Math"/>
          <w:b/>
          <w:bCs/>
          <w:i w:val="0"/>
          <w:lang w:val="en-US" w:eastAsia="zh-CN"/>
        </w:rPr>
        <w:t xml:space="preserve"> =</w:t>
      </w:r>
      <w:r>
        <w:rPr>
          <w:rFonts w:hint="default" w:ascii="Times New Roman" w:hAnsi="Times New Roman" w:cs="Times New Roman"/>
          <w:b/>
          <w:bCs/>
          <w:i w:val="0"/>
          <w:lang w:val="en-US" w:eastAsia="zh-CN"/>
        </w:rPr>
        <w:t xml:space="preserve"> (4, 1) or (</w:t>
      </w:r>
      <w:r>
        <w:rPr>
          <w:rFonts w:hint="eastAsia" w:ascii="Times New Roman" w:hAnsi="Times New Roman" w:cs="Times New Roman"/>
          <w:b/>
          <w:bCs/>
          <w:i w:val="0"/>
          <w:lang w:val="en-US" w:eastAsia="zh-CN"/>
        </w:rPr>
        <w:t xml:space="preserve">8, 1) is mandatorily supported for </w:t>
      </w:r>
      <w:r>
        <w:rPr>
          <w:b/>
          <w:bCs/>
          <w:lang w:eastAsia="zh-CN"/>
        </w:rPr>
        <w:t xml:space="preserve">SCS configuration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μ=5</m:t>
        </m:r>
      </m:oMath>
      <w:r>
        <w:rPr>
          <w:b/>
          <w:bCs/>
          <w:lang w:eastAsia="zh-CN"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μ=6</m:t>
        </m:r>
      </m:oMath>
      <w:r>
        <w:rPr>
          <w:rFonts w:hint="default" w:ascii="Times New Roman" w:hAnsi="Times New Roman" w:cs="Times New Roman"/>
          <w:b/>
          <w:bCs/>
          <w:i w:val="0"/>
          <w:lang w:val="en-US" w:eastAsia="zh-CN"/>
        </w:rPr>
        <w:t xml:space="preserve"> respectively</w:t>
      </w:r>
      <w:r>
        <w:rPr>
          <w:rFonts w:hint="eastAsia" w:ascii="Cambria Math" w:hAnsi="Cambria Math"/>
          <w:b/>
          <w:bCs/>
          <w:i w:val="0"/>
          <w:lang w:val="en-US" w:eastAsia="zh-CN"/>
        </w:rPr>
        <w:t xml:space="preserve">.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20" w:type="dxa"/>
          </w:tcPr>
          <w:p>
            <w:pPr>
              <w:keepNext/>
              <w:numPr>
                <w:ilvl w:val="0"/>
                <w:numId w:val="0"/>
              </w:numPr>
              <w:tabs>
                <w:tab w:val="left" w:pos="432"/>
              </w:tabs>
              <w:autoSpaceDE w:val="0"/>
              <w:autoSpaceDN w:val="0"/>
              <w:adjustRightInd w:val="0"/>
              <w:snapToGrid w:val="0"/>
              <w:spacing w:before="120" w:after="120"/>
              <w:ind w:left="432" w:hanging="432"/>
              <w:jc w:val="both"/>
              <w:outlineLvl w:val="1"/>
              <w:rPr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>TP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en-US" w:eastAsia="en-US" w:bidi="ar-SA"/>
              </w:rPr>
              <w:t xml:space="preserve"> for TS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en-US" w:eastAsia="en-US" w:bidi="ar-SA"/>
              </w:rPr>
              <w:t>38.21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eastAsia="宋体" w:cs="Times New Roman"/>
                <w:b/>
                <w:bCs/>
                <w:sz w:val="21"/>
                <w:szCs w:val="21"/>
                <w:lang w:val="en-US" w:eastAsia="zh-CN" w:bidi="ar-SA"/>
              </w:rPr>
              <w:t xml:space="preserve"> (marked in red)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If a UE is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for a serving cell, the UE obtains an indication to monitor PDCCH on the serving cell for a maximum number of PDCCH candidates and non-overlapping CCEs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slot, as in Tables 10.1-2 and 10.1-3,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5</w:t>
            </w:r>
            <w:r>
              <w:rPr>
                <w:i/>
              </w:rPr>
              <w:t>monitoringcapability</w:t>
            </w:r>
            <w:r>
              <w:rPr>
                <w:szCs w:val="22"/>
                <w:lang w:val="en-US"/>
              </w:rPr>
              <w:t xml:space="preserve">, </w:t>
            </w:r>
            <w:r>
              <w:rPr>
                <w:lang w:val="en-US"/>
              </w:rPr>
              <w:t xml:space="preserve">or 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span, as in Tables 10.1-2A and 10.1-3A,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r16monitoringcapability</w:t>
            </w:r>
          </w:p>
          <w:p>
            <w:pPr>
              <w:ind w:leftChars="20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per group </w:t>
            </w:r>
            <w:r>
              <w:rPr>
                <w:lang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eastAsia="zh-CN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zh-C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slots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according to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</m:d>
            </m:oMath>
            <w:r>
              <w:rPr>
                <w:lang w:val="en-US"/>
              </w:rPr>
              <w:t xml:space="preserve">, as in Tables 10.1-2B and 10.1-3B, </w:t>
            </w:r>
            <w:r>
              <w:rPr>
                <w:szCs w:val="22"/>
              </w:rPr>
              <w:t xml:space="preserve">if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=</w:t>
            </w:r>
            <w:r>
              <w:rPr>
                <w:szCs w:val="22"/>
              </w:rPr>
              <w:t xml:space="preserve">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monitoringcapability</w:t>
            </w:r>
          </w:p>
          <w:p>
            <w:pPr>
              <w:numPr>
                <w:ilvl w:val="-1"/>
                <w:numId w:val="0"/>
              </w:numPr>
              <w:snapToGrid/>
              <w:spacing w:after="180" w:line="240" w:lineRule="auto"/>
              <w:jc w:val="left"/>
              <w:rPr>
                <w:lang w:val="en-US"/>
              </w:rPr>
            </w:pPr>
            <w:r>
              <w:rPr>
                <w:color w:val="FF0000"/>
                <w:sz w:val="21"/>
                <w:szCs w:val="21"/>
                <w:lang w:val="en-US"/>
              </w:rPr>
              <w:t>F</w:t>
            </w:r>
            <w:r>
              <w:rPr>
                <w:color w:val="FF0000"/>
                <w:sz w:val="21"/>
                <w:szCs w:val="21"/>
              </w:rPr>
              <w:t xml:space="preserve">or </w:t>
            </w:r>
            <w:r>
              <w:rPr>
                <w:rFonts w:hint="eastAsia"/>
                <w:color w:val="FF0000"/>
                <w:sz w:val="21"/>
                <w:szCs w:val="21"/>
              </w:rPr>
              <w:t>μ</w:t>
            </w:r>
            <w:r>
              <w:rPr>
                <w:color w:val="FF0000"/>
                <w:sz w:val="21"/>
                <w:szCs w:val="21"/>
              </w:rPr>
              <w:t xml:space="preserve"> </w:t>
            </w:r>
            <w:r>
              <w:rPr>
                <w:rFonts w:ascii="Cambria Math" w:hAnsi="Cambria Math" w:cs="Cambria Math"/>
                <w:color w:val="FF0000"/>
                <w:sz w:val="21"/>
                <w:szCs w:val="21"/>
              </w:rPr>
              <w:t xml:space="preserve">∈ </w:t>
            </w:r>
            <w:r>
              <w:rPr>
                <w:rFonts w:hint="eastAsia"/>
                <w:color w:val="FF0000"/>
                <w:sz w:val="21"/>
                <w:szCs w:val="21"/>
              </w:rPr>
              <w:t>{0,1,2,3}</w:t>
            </w:r>
            <w:r>
              <w:rPr>
                <w:color w:val="FF0000"/>
                <w:sz w:val="21"/>
                <w:szCs w:val="21"/>
              </w:rPr>
              <w:t>,</w:t>
            </w:r>
            <w:r>
              <w:rPr>
                <w:rFonts w:hint="eastAsia" w:eastAsia="宋体"/>
                <w:color w:val="FF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</w:t>
            </w:r>
            <w:r>
              <w:rPr>
                <w:lang w:val="en-US"/>
              </w:rPr>
              <w:t xml:space="preserve">f the UE is not provided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, the UE monitors PDCCH on the serving cell for a maximum number of PDCCH candidates and non-overlapping CCEs per slot. </w:t>
            </w:r>
          </w:p>
          <w:p>
            <w:pPr>
              <w:numPr>
                <w:ilvl w:val="-1"/>
                <w:numId w:val="0"/>
              </w:numPr>
              <w:snapToGrid/>
              <w:spacing w:after="0" w:line="240" w:lineRule="auto"/>
              <w:jc w:val="left"/>
              <w:rPr>
                <w:lang w:val="en-US"/>
              </w:rPr>
            </w:pPr>
            <w:r>
              <w:rPr>
                <w:color w:val="FF0000"/>
              </w:rPr>
              <w:t xml:space="preserve">For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 xml:space="preserve"> </w:t>
            </w:r>
            <w:r>
              <w:rPr>
                <w:rFonts w:ascii="Cambria Math" w:hAnsi="Cambria Math" w:cs="Cambria Math"/>
                <w:color w:val="FF0000"/>
              </w:rPr>
              <w:t xml:space="preserve">∈ </w:t>
            </w:r>
            <w:r>
              <w:rPr>
                <w:rFonts w:hint="eastAsia"/>
                <w:color w:val="FF0000"/>
              </w:rPr>
              <w:t>{</w:t>
            </w:r>
            <w:r>
              <w:rPr>
                <w:color w:val="FF0000"/>
              </w:rPr>
              <w:t>5,6</w:t>
            </w:r>
            <w:r>
              <w:rPr>
                <w:rFonts w:hint="eastAsia"/>
                <w:color w:val="FF0000"/>
              </w:rPr>
              <w:t>}</w:t>
            </w:r>
            <w:r>
              <w:rPr>
                <w:color w:val="FF0000"/>
              </w:rPr>
              <w:t xml:space="preserve">, </w:t>
            </w:r>
            <w:r>
              <w:rPr>
                <w:rFonts w:hint="eastAsia" w:eastAsia="宋体"/>
                <w:color w:val="FF0000"/>
                <w:lang w:val="en-US" w:eastAsia="zh-CN"/>
              </w:rPr>
              <w:t>i</w:t>
            </w:r>
            <w:r>
              <w:rPr>
                <w:color w:val="FF0000"/>
                <w:lang w:eastAsia="zh-CN"/>
              </w:rPr>
              <w:t>f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 w:eastAsia="宋体"/>
                <w:color w:val="FF0000"/>
                <w:lang w:val="en-US" w:eastAsia="zh-CN"/>
              </w:rPr>
              <w:t>the</w:t>
            </w:r>
            <w:r>
              <w:rPr>
                <w:color w:val="FF0000"/>
              </w:rPr>
              <w:t xml:space="preserve"> UE is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  <w:lang w:val="en-US"/>
              </w:rPr>
              <w:t xml:space="preserve">not provided </w:t>
            </w:r>
            <w:r>
              <w:rPr>
                <w:i/>
                <w:color w:val="FF0000"/>
                <w:lang w:val="en-US"/>
              </w:rPr>
              <w:t>monitoringCapabilityConfig</w:t>
            </w:r>
            <w:r>
              <w:rPr>
                <w:rFonts w:hint="eastAsia"/>
                <w:color w:val="FF0000"/>
                <w:lang w:val="en-US" w:eastAsia="zh-CN"/>
              </w:rPr>
              <w:t xml:space="preserve"> or </w:t>
            </w:r>
            <w:r>
              <w:rPr>
                <w:rFonts w:hint="eastAsia"/>
                <w:color w:val="FF0000"/>
                <w:highlight w:val="none"/>
                <w:lang w:eastAsia="zh-CN"/>
              </w:rPr>
              <w:t>not</w:t>
            </w:r>
            <w:r>
              <w:rPr>
                <w:color w:val="FF0000"/>
                <w:highlight w:val="none"/>
              </w:rPr>
              <w:t xml:space="preserve"> 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configured </w:t>
            </w:r>
            <w:r>
              <w:rPr>
                <w:color w:val="FF0000"/>
              </w:rPr>
              <w:t xml:space="preserve">with a combination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</m:oMath>
            <w:r>
              <w:rPr>
                <w:color w:val="FF0000"/>
                <w:lang w:eastAsia="zh-CN"/>
              </w:rPr>
              <w:t xml:space="preserve">, the UE assumes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=(4,1)</m:t>
              </m:r>
            </m:oMath>
            <w:r>
              <w:rPr>
                <w:color w:val="FF0000"/>
                <w:lang w:eastAsia="zh-CN"/>
              </w:rPr>
              <w:t xml:space="preserve"> for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 xml:space="preserve">=5 and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=(8,1)</m:t>
              </m:r>
            </m:oMath>
            <w:r>
              <w:rPr>
                <w:color w:val="FF0000"/>
              </w:rPr>
              <w:t xml:space="preserve"> for </w:t>
            </w:r>
            <w:r>
              <w:rPr>
                <w:rFonts w:hint="eastAsia"/>
                <w:color w:val="FF0000"/>
              </w:rPr>
              <w:t>μ</w:t>
            </w:r>
            <w:r>
              <w:rPr>
                <w:color w:val="FF0000"/>
              </w:rPr>
              <w:t>=6.</w:t>
            </w:r>
          </w:p>
          <w:p>
            <w:pPr>
              <w:numPr>
                <w:ilvl w:val="-1"/>
                <w:numId w:val="0"/>
              </w:numPr>
              <w:snapToGrid/>
              <w:spacing w:after="0" w:line="240" w:lineRule="auto"/>
              <w:jc w:val="left"/>
              <w:rPr>
                <w:rFonts w:hint="eastAsia"/>
                <w:lang w:val="en-US" w:eastAsia="zh-CN"/>
              </w:rPr>
            </w:pPr>
          </w:p>
        </w:tc>
      </w:tr>
    </w:tbl>
    <w:p>
      <w:pPr>
        <w:numPr>
          <w:ilvl w:val="1"/>
          <w:numId w:val="0"/>
        </w:numPr>
        <w:snapToGrid w:val="0"/>
        <w:spacing w:before="180" w:after="180" w:line="260" w:lineRule="auto"/>
        <w:ind w:left="0" w:firstLine="0"/>
        <w:jc w:val="both"/>
        <w:rPr>
          <w:rFonts w:ascii="Cambria Math" w:hAnsi="Cambria Math"/>
          <w:b/>
          <w:bCs/>
          <w:i w:val="0"/>
          <w:lang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</w:t>
      </w:r>
      <w:r>
        <w:rPr>
          <w:b/>
          <w:bCs/>
          <w:color w:val="auto"/>
          <w:lang w:eastAsia="zh-CN"/>
        </w:rPr>
        <w:t>If a UE indicates a capability to</w:t>
      </w:r>
      <w:r>
        <w:rPr>
          <w:b/>
          <w:bCs/>
          <w:color w:val="auto"/>
          <w:lang w:eastAsia="ko-KR"/>
        </w:rPr>
        <w:t xml:space="preserve"> monitor PDCCH according to multiple </w:t>
      </w:r>
      <m:oMath>
        <m:d>
          <m:dPr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e>
        </m:d>
      </m:oMath>
      <w:r>
        <w:rPr>
          <w:b/>
          <w:bCs/>
          <w:color w:val="auto"/>
          <w:lang w:eastAsia="zh-CN"/>
        </w:rPr>
        <w:t xml:space="preserve"> combinations</w:t>
      </w:r>
      <w:r>
        <w:rPr>
          <w:b/>
          <w:bCs/>
          <w:color w:val="auto"/>
          <w:lang w:eastAsia="ko-KR"/>
        </w:rPr>
        <w:t xml:space="preserve"> and 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one or more </w:t>
      </w:r>
      <w:r>
        <w:rPr>
          <w:b/>
          <w:bCs/>
          <w:color w:val="auto"/>
          <w:lang w:eastAsia="ko-KR"/>
        </w:rPr>
        <w:t>multiple</w:t>
      </w:r>
      <w:r>
        <w:rPr>
          <w:b/>
          <w:bCs/>
          <w:color w:val="auto"/>
          <w:lang w:eastAsia="zh-CN"/>
        </w:rPr>
        <w:t xml:space="preserve"> combinations</w:t>
      </w:r>
      <w:r>
        <w:rPr>
          <w:b/>
          <w:bCs/>
          <w:color w:val="auto"/>
          <w:lang w:eastAsia="ko-KR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color w:val="auto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color w:val="auto"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color w:val="auto"/>
                <w:lang w:eastAsia="zh-CN"/>
              </w:rPr>
            </m:ctrlPr>
          </m:e>
        </m:d>
      </m:oMath>
      <w:r>
        <w:rPr>
          <w:rFonts w:hint="eastAsia" w:eastAsia="宋体"/>
          <w:b/>
          <w:bCs/>
          <w:color w:val="auto"/>
          <w:lang w:val="en-US" w:eastAsia="zh-CN"/>
        </w:rPr>
        <w:t xml:space="preserve"> can meet the</w:t>
      </w:r>
      <w:r>
        <w:rPr>
          <w:b/>
          <w:bCs/>
          <w:color w:val="auto"/>
          <w:lang w:eastAsia="ko-KR"/>
        </w:rPr>
        <w:t xml:space="preserve"> configuration of search space sets to the UE for PDCCH monitoring on a cell</w:t>
      </w:r>
      <w:r>
        <w:rPr>
          <w:rFonts w:hint="eastAsia" w:eastAsia="宋体"/>
          <w:b/>
          <w:bCs/>
          <w:color w:val="auto"/>
          <w:lang w:val="en-US" w:eastAsia="zh-CN"/>
        </w:rPr>
        <w:t>, w</w:t>
      </w:r>
      <w:r>
        <w:rPr>
          <w:rFonts w:hint="eastAsia"/>
          <w:b/>
          <w:bCs/>
          <w:lang w:eastAsia="zh-CN"/>
        </w:rPr>
        <w:t xml:space="preserve">e need to consider RRC signaling to configure the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rFonts w:hint="eastAsia" w:ascii="Cambria Math" w:hAnsi="Cambria Math" w:eastAsia="宋体"/>
          <w:b/>
          <w:bCs/>
          <w:i w:val="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lang w:val="en-US" w:eastAsia="zh-CN"/>
        </w:rPr>
        <w:t>for flexible scheduling</w:t>
      </w:r>
      <w:r>
        <w:rPr>
          <w:rFonts w:hint="eastAsia" w:ascii="Times New Roman" w:hAnsi="Times New Roman" w:eastAsia="宋体" w:cs="Times New Roman"/>
          <w:b/>
          <w:bCs/>
          <w:i w:val="0"/>
          <w:lang w:val="en-US" w:eastAsia="zh-CN"/>
        </w:rPr>
        <w:t xml:space="preserve">. Moreover, </w:t>
      </w:r>
      <w:r>
        <w:rPr>
          <w:rFonts w:hint="eastAsia"/>
          <w:b/>
          <w:bCs/>
          <w:lang w:val="en-US" w:eastAsia="zh-CN"/>
        </w:rPr>
        <w:t>t</w:t>
      </w:r>
      <w:r>
        <w:rPr>
          <w:b/>
          <w:bCs/>
          <w:highlight w:val="none"/>
          <w:lang w:eastAsia="zh-CN"/>
        </w:rPr>
        <w:t xml:space="preserve">he UE expects to monitor PDCCH according to the same </w:t>
      </w:r>
      <w:r>
        <w:rPr>
          <w:b/>
          <w:bCs/>
          <w:highlight w:val="none"/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highlight w:val="none"/>
          <w:lang w:eastAsia="zh-CN"/>
        </w:rPr>
        <w:t>in every slot</w:t>
      </w:r>
      <w:r>
        <w:rPr>
          <w:rFonts w:hint="eastAsia"/>
          <w:b/>
          <w:bCs/>
          <w:highlight w:val="none"/>
          <w:lang w:val="en-US" w:eastAsia="zh-CN"/>
        </w:rPr>
        <w:t xml:space="preserve"> group</w:t>
      </w:r>
      <w:r>
        <w:rPr>
          <w:b/>
          <w:bCs/>
          <w:highlight w:val="none"/>
          <w:lang w:eastAsia="zh-CN"/>
        </w:rPr>
        <w:t xml:space="preserve"> on the active DL BWP of a cell.</w:t>
      </w:r>
    </w:p>
    <w:p>
      <w:pPr>
        <w:numPr>
          <w:ilvl w:val="1"/>
          <w:numId w:val="0"/>
        </w:numPr>
        <w:snapToGrid w:val="0"/>
        <w:spacing w:after="180" w:line="260" w:lineRule="auto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Confirm the working assumption: BD/CCE budget of 960 kHz for (4,2), (4,1) is half that of X=8.</w:t>
      </w:r>
    </w:p>
    <w:p>
      <w:pPr>
        <w:pStyle w:val="75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 xml:space="preserve">Table 1: Maximum number </w:t>
      </w:r>
      <m:oMath>
        <m:sSubSup>
          <m:sSubSupP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M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/>
          <w:bCs w:val="0"/>
        </w:rPr>
        <w:t xml:space="preserve"> of monitored PDCCH candidates per </w:t>
      </w:r>
      <w:r>
        <w:rPr>
          <w:rFonts w:ascii="Times New Roman" w:hAnsi="Times New Roman"/>
          <w:b/>
          <w:bCs w:val="0"/>
          <w:sz w:val="20"/>
          <w:szCs w:val="20"/>
        </w:rPr>
        <w:t xml:space="preserve">slot group for combination </w:t>
      </w:r>
      <m:oMath>
        <m:d>
          <m:dPr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/>
                <w:bCs w:val="0"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Y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  <m:ctrlPr>
                            <w:rPr>
                              <w:rFonts w:ascii="Cambria Math" w:hAnsi="Cambria Math" w:cs="Times New Roman"/>
                              <w:b/>
                              <w:bCs w:val="0"/>
                              <w:i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,μ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of monitored PDCCH candidates per </w:t>
            </w:r>
            <w:r>
              <w:rPr>
                <w:rFonts w:ascii="Times New Roman" w:hAnsi="Times New Roman"/>
                <w:b/>
                <w:bCs w:val="0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 and per serving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10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20</w:t>
            </w:r>
          </w:p>
        </w:tc>
      </w:tr>
    </w:tbl>
    <w:p>
      <w:pPr>
        <w:numPr>
          <w:ilvl w:val="1"/>
          <w:numId w:val="0"/>
        </w:numPr>
        <w:snapToGrid w:val="0"/>
        <w:spacing w:after="240" w:line="260" w:lineRule="auto"/>
        <w:ind w:left="0" w:firstLine="0"/>
        <w:jc w:val="both"/>
        <w:rPr>
          <w:rFonts w:hint="default" w:eastAsia="宋体"/>
          <w:b/>
          <w:bCs w:val="0"/>
          <w:lang w:val="en-US" w:eastAsia="zh-CN"/>
        </w:rPr>
      </w:pPr>
    </w:p>
    <w:p>
      <w:pPr>
        <w:pStyle w:val="75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 xml:space="preserve">Table </w:t>
      </w:r>
      <w:r>
        <w:rPr>
          <w:rFonts w:hint="default" w:ascii="Times New Roman" w:hAnsi="Times New Roman"/>
          <w:b/>
          <w:bCs w:val="0"/>
          <w:lang w:val="en-US" w:eastAsia="zh-CN"/>
        </w:rPr>
        <w:t>2</w:t>
      </w:r>
      <w:r>
        <w:rPr>
          <w:rFonts w:ascii="Times New Roman" w:hAnsi="Times New Roman"/>
          <w:b/>
          <w:bCs w:val="0"/>
        </w:rPr>
        <w:t xml:space="preserve">: Maximum number </w:t>
      </w:r>
      <m:oMath>
        <m:sSubSup>
          <m:sSubSupP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max,(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),μ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lang w:eastAsia="zh-CN"/>
              </w:rPr>
            </m:ctrlPr>
          </m:sup>
        </m:sSubSup>
      </m:oMath>
      <w:r>
        <w:rPr>
          <w:rFonts w:ascii="Times New Roman" w:hAnsi="Times New Roman"/>
          <w:b/>
          <w:bCs w:val="0"/>
        </w:rPr>
        <w:t xml:space="preserve"> of non-overlapped CCEs in a slot group for combination </w:t>
      </w:r>
      <m:oMath>
        <m:d>
          <m:dPr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 w:cs="Times New Roman"/>
                    <w:b/>
                    <w:bCs w:val="0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cs="Times New Roman"/>
                <w:b/>
                <w:bCs w:val="0"/>
                <w:i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DL BWP with SCS configuration </w:t>
      </w:r>
      <m:oMath>
        <m:r>
          <m:rPr/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dPr>
          <m:e>
            <m:r>
              <m:rPr/>
              <w:rPr>
                <w:rFonts w:ascii="Cambria Math" w:hAnsi="Cambria Math"/>
                <w:lang w:eastAsia="zh-CN"/>
              </w:rPr>
              <m:t>5, 6</m:t>
            </m:r>
            <m:ctrlPr>
              <w:rPr>
                <w:rFonts w:ascii="Cambria Math" w:hAnsi="Cambria Math" w:cs="Times New Roman"/>
                <w:b/>
                <w:bCs w:val="0"/>
                <w:i/>
                <w:sz w:val="20"/>
                <w:szCs w:val="20"/>
                <w:lang w:eastAsia="zh-CN"/>
              </w:rPr>
            </m:ctrlPr>
          </m:e>
        </m:d>
      </m:oMath>
      <w:r>
        <w:rPr>
          <w:rFonts w:ascii="Times New Roman" w:hAnsi="Times New Roman"/>
          <w:b/>
          <w:bCs w:val="0"/>
        </w:rPr>
        <w:t xml:space="preserve"> for a single serving cell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451"/>
        <w:gridCol w:w="153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7"/>
              <w:rPr>
                <w:rFonts w:ascii="Times New Roman" w:hAnsi="Times New Roman"/>
                <w:b/>
                <w:bCs w:val="0"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>
            <w:pPr>
              <w:pStyle w:val="75"/>
              <w:spacing w:before="0" w:after="0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Maximum number of non-overlapped CCEs per </w:t>
            </w:r>
            <w:r>
              <w:rPr>
                <w:rFonts w:ascii="Times New Roman" w:hAnsi="Times New Roman"/>
                <w:b/>
                <w:bCs w:val="0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/>
                <w:bCs w:val="0"/>
                <w:sz w:val="20"/>
                <w:szCs w:val="20"/>
              </w:rPr>
              <w:t xml:space="preserve"> and per serving cell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C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eastAsia="zh-CN"/>
                    </w:rPr>
                    <m:t>max,(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 w:cs="Times New Roman"/>
                          <w:b/>
                          <w:bCs w:val="0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),μ</m:t>
                  </m:r>
                  <m:ctrlPr>
                    <w:rPr>
                      <w:rFonts w:ascii="Cambria Math" w:hAnsi="Cambria Math" w:cs="Times New Roman"/>
                      <w:b/>
                      <w:bCs w:val="0"/>
                      <w:i/>
                      <w:sz w:val="20"/>
                      <w:szCs w:val="20"/>
                      <w:lang w:eastAsia="zh-CN"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(4, 1)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(4, 2)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(8, 1)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(8, 4)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5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794" w:type="dxa"/>
            <w:vAlign w:val="center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6</w:t>
            </w:r>
          </w:p>
        </w:tc>
        <w:tc>
          <w:tcPr>
            <w:tcW w:w="1451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16</w:t>
            </w:r>
          </w:p>
        </w:tc>
        <w:tc>
          <w:tcPr>
            <w:tcW w:w="153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color w:val="auto"/>
                <w:sz w:val="20"/>
              </w:rPr>
              <w:t>16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  <w:tc>
          <w:tcPr>
            <w:tcW w:w="1440" w:type="dxa"/>
          </w:tcPr>
          <w:p>
            <w:pPr>
              <w:pStyle w:val="48"/>
              <w:rPr>
                <w:rFonts w:ascii="Times New Roman" w:hAnsi="Times New Roman"/>
                <w:b/>
                <w:bCs w:val="0"/>
                <w:sz w:val="20"/>
              </w:rPr>
            </w:pPr>
            <w:r>
              <w:rPr>
                <w:rFonts w:ascii="Times New Roman" w:hAnsi="Times New Roman"/>
                <w:b/>
                <w:bCs w:val="0"/>
                <w:sz w:val="20"/>
              </w:rPr>
              <w:t>32</w:t>
            </w:r>
          </w:p>
        </w:tc>
      </w:tr>
    </w:tbl>
    <w:p>
      <w:pPr>
        <w:numPr>
          <w:ilvl w:val="1"/>
          <w:numId w:val="0"/>
        </w:numPr>
        <w:snapToGrid w:val="0"/>
        <w:spacing w:after="180" w:line="260" w:lineRule="auto"/>
        <w:ind w:left="0" w:firstLine="0"/>
        <w:jc w:val="both"/>
        <w:rPr>
          <w:rFonts w:hint="default" w:eastAsia="宋体"/>
          <w:b/>
          <w:bCs/>
          <w:lang w:val="en-US" w:eastAsia="zh-CN"/>
        </w:rPr>
      </w:pP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eastAsia="宋体"/>
          <w:bCs/>
          <w:i w:val="0"/>
          <w:iCs w:val="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4: The configured periodicity in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monitoringSlotPeriodicityAndOffset-r17 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>and duration in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duration-r17 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are restricted to be an integer multiple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ub>
        </m:sSub>
      </m:oMath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slots for both Group (1) SSs and Group (2) SSs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cs="Times New Roman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Proposal 5: Further clarify the definition of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duration-r17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as: Number of slots that a SearchSpace lasts for a couple of consecutive slot groups in every occasion. If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lang w:val="en-US" w:eastAsia="zh-CN"/>
        </w:rPr>
        <w:t>duration-r17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is absent, the UE applies the value 4 slots, except for DCI format 2_0.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before="180" w:after="180" w:line="260" w:lineRule="auto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6: If new parameter </w:t>
      </w:r>
      <w:r>
        <w:rPr>
          <w:rFonts w:hint="eastAsia" w:eastAsia="宋体"/>
          <w:b/>
          <w:bCs/>
          <w:i/>
          <w:iCs/>
          <w:lang w:val="en-US" w:eastAsia="zh-CN"/>
        </w:rPr>
        <w:t>monitoringSlotsWithinSlotGroup-r17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 is introduced,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the offset indicated in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monitoringSlotPeriodicityAndOffset-r17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is equal to the slot offset between the subframe boundary and the first slot in the slot group indicated in </w:t>
      </w:r>
      <w:r>
        <w:rPr>
          <w:rFonts w:hint="eastAsia" w:eastAsia="宋体"/>
          <w:b/>
          <w:bCs/>
          <w:i/>
          <w:iCs/>
          <w:lang w:val="en-US" w:eastAsia="zh-CN"/>
        </w:rPr>
        <w:t>monitoringSlotsWithinSlotGroup-r17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for a PDCCH monitoring occasion.</w:t>
      </w:r>
    </w:p>
    <w:p>
      <w:pPr>
        <w:spacing w:after="0" w:line="260" w:lineRule="auto"/>
        <w:jc w:val="both"/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eastAsia"/>
          <w:b/>
          <w:bCs w:val="0"/>
          <w:lang w:val="en-US" w:eastAsia="zh-CN"/>
        </w:rPr>
        <w:t xml:space="preserve">Proposal 7: </w:t>
      </w:r>
      <w:r>
        <w:rPr>
          <w:rFonts w:hint="eastAsia" w:eastAsia="宋体"/>
          <w:b/>
          <w:bCs/>
          <w:lang w:val="en-US" w:eastAsia="zh-CN"/>
        </w:rPr>
        <w:t xml:space="preserve">Confirm the working assumption: </w:t>
      </w:r>
      <w:r>
        <w:rPr>
          <w:rFonts w:hint="default" w:ascii="Times New Roman" w:hAnsi="Times New Roman" w:cs="Times New Roman"/>
          <w:b/>
          <w:sz w:val="20"/>
          <w:szCs w:val="20"/>
        </w:rPr>
        <w:t>Support only search space set group switching processing capability 1 with the following values</w:t>
      </w:r>
    </w:p>
    <w:tbl>
      <w:tblPr>
        <w:tblStyle w:val="25"/>
        <w:tblW w:w="0" w:type="auto"/>
        <w:tblInd w:w="1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300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noWrap w:val="0"/>
            <w:vAlign w:val="center"/>
          </w:tcPr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Minimum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28" o:spt="75" type="#_x0000_t75" style="height:10.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3F5D&quot;/&gt;&lt;wsp:rsid wsp:val=&quot;006845E0&quot;/&gt;&lt;wsp:rsid wsp:val=&quot;006869F0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2254F&quot;/&gt;&lt;wsp:rsid wsp:val=&quot;00823D01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640E8&quot;/&gt;&lt;wsp:rsid wsp:val=&quot;00B73780&quot;/&gt;&lt;wsp:rsid wsp:val=&quot;00B75DE1&quot;/&gt;&lt;wsp:rsid wsp:val=&quot;00B846F0&quot;/&gt;&lt;wsp:rsid wsp:val=&quot;00B87127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6869F0&quot; wsp:rsidP=&quot;006869F0&quot;&gt;&lt;m:oMathPara&gt;&lt;m:oMath&gt;&lt;m:sSub&gt;&lt;m:sSubPr&gt;&lt;m:ctrlPr&gt;&lt;w:rPr&gt;&lt;w:rFonts w:ascii=&quot;Cambria Math&quot; w:h-ansi=&quot;Cambria Math&quot; w:cs=&quot;Arial&quot;/&gt;&lt;wx:font wx:val=&quot;Cambria Math&quot;/&gt;&lt;w:sz-cs w:val=&quot;18&quot;/&gt;&lt;/w:rPr&gt;&lt;/m:ctrlPr&gt;&lt;/m:sSubPr&gt;&lt;m:e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P&lt;/m:t&gt;&lt;/m:r&gt;&lt;/m:e&gt;&lt;m:sub&gt;&lt;m:r&gt;&lt;m:rPr&gt;&lt;m:sty m:val=&quot;b&quot;/&gt;&lt;/m:rPr&gt;&lt;w:rPr&gt;&lt;w:rFonts w:ascii=&quot;Cambria Math&quot; w:h-ansi=&quot;Cambria Math&quot; w:cs=&quot;Arial&quot;/&gt;&lt;wx:font wx:val=&quot;Cambria Math&quot;/&gt;&lt;w:b/&gt;&lt;w:b-cs/&gt;&lt;w:sz-cs w:val=&quot;18&quot;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switcℎ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value for</w:t>
            </w:r>
          </w:p>
          <w:p>
            <w:pPr>
              <w:pStyle w:val="4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UE processing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capability 1 [symbols]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0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pStyle w:val="4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320</w:t>
            </w:r>
          </w:p>
        </w:tc>
      </w:tr>
    </w:tbl>
    <w:p>
      <w:pPr>
        <w:spacing w:after="180" w:line="260" w:lineRule="auto"/>
        <w:jc w:val="left"/>
        <w:rPr>
          <w:rFonts w:hint="eastAsia"/>
          <w:b/>
          <w:bCs w:val="0"/>
          <w:lang w:val="en-US" w:eastAsia="zh-CN"/>
        </w:rPr>
      </w:pPr>
    </w:p>
    <w:p>
      <w:pPr>
        <w:spacing w:after="180" w:line="260" w:lineRule="auto"/>
        <w:jc w:val="left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Proposal 8: For multi-slot PDCCH monitoring in Rel-17, the SSSG switching boundary, i.e. the time of applying the switching, is aligned with the boundary of a slot group to avoid increasing complexity.</w:t>
      </w:r>
    </w:p>
    <w:p>
      <w:pPr>
        <w:spacing w:after="180" w:line="260" w:lineRule="auto"/>
        <w:jc w:val="left"/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eastAsia"/>
          <w:b/>
          <w:bCs w:val="0"/>
          <w:lang w:val="en-US" w:eastAsia="zh-CN"/>
        </w:rPr>
        <w:t xml:space="preserve">Proposal 9: Conclude that 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SSSG is only supported between SSSGs that have the same</w:t>
      </w:r>
      <w:r>
        <w:rPr>
          <w:rFonts w:hint="eastAsia" w:ascii="Times New Roman" w:hAnsi="Times New Roman"/>
          <w:b/>
          <w:bCs/>
          <w:sz w:val="21"/>
          <w:szCs w:val="21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</m:oMath>
      <w:r>
        <w:rPr>
          <w:b/>
          <w:bCs/>
          <w:highlight w:val="none"/>
          <w:lang w:eastAsia="zh-CN"/>
        </w:rPr>
        <w:t xml:space="preserve"> PDCCH</w:t>
      </w:r>
      <w:r>
        <w:rPr>
          <w:rFonts w:hint="eastAsia"/>
          <w:b/>
          <w:bCs/>
          <w:highlight w:val="none"/>
          <w:lang w:val="en-US" w:eastAsia="zh-CN"/>
        </w:rPr>
        <w:t xml:space="preserve"> monitoring capability </w:t>
      </w:r>
      <w:r>
        <w:rPr>
          <w:b/>
          <w:bCs/>
          <w:highlight w:val="none"/>
          <w:lang w:eastAsia="zh-CN"/>
        </w:rPr>
        <w:t>on the active DL BWP of a cell</w:t>
      </w:r>
      <w:r>
        <w:rPr>
          <w:rFonts w:hint="eastAsia"/>
          <w:b/>
          <w:bCs/>
          <w:highlight w:val="none"/>
          <w:lang w:val="en-US" w:eastAsia="zh-CN"/>
        </w:rPr>
        <w:t>.</w:t>
      </w:r>
    </w:p>
    <w:p>
      <w:pPr>
        <w:spacing w:after="180" w:line="260" w:lineRule="auto"/>
        <w:jc w:val="left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Proposal 10: For a group of serving cells with multi-slot PDCCH monitoring capability, the serving cells with the same SCS and </w:t>
      </w:r>
      <w:r>
        <w:rPr>
          <w:b/>
          <w:bCs/>
          <w:lang w:eastAsia="zh-CN"/>
        </w:rPr>
        <w:t>Xs</w:t>
      </w:r>
      <w:r>
        <w:rPr>
          <w:rFonts w:hint="eastAsia"/>
          <w:b/>
          <w:bCs w:val="0"/>
          <w:lang w:val="en-US" w:eastAsia="zh-CN"/>
        </w:rPr>
        <w:t xml:space="preserve"> value are grouped together to follow a total BD/CCE budget.</w:t>
      </w:r>
    </w:p>
    <w:bookmarkEnd w:id="0"/>
    <w:bookmarkEnd w:id="1"/>
    <w:bookmarkEnd w:id="2"/>
    <w:bookmarkEnd w:id="3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4"/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72" w:afterLines="30" w:line="240" w:lineRule="auto"/>
        <w:jc w:val="both"/>
      </w:pPr>
      <w:r>
        <w:t>RAN1 #10</w:t>
      </w:r>
      <w:r>
        <w:rPr>
          <w:rFonts w:hint="eastAsia" w:eastAsia="宋体"/>
          <w:lang w:val="en-US" w:eastAsia="zh-CN"/>
        </w:rPr>
        <w:t>7bis-</w:t>
      </w:r>
      <w:r>
        <w:t>e chairman’s notes</w:t>
      </w:r>
    </w:p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72" w:afterLines="30" w:line="240" w:lineRule="auto"/>
        <w:jc w:val="both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TS 38.213 Physical layer procedures for control (Release 17)</w:t>
      </w:r>
    </w:p>
    <w:p>
      <w:pPr>
        <w:widowControl w:val="0"/>
        <w:numPr>
          <w:ilvl w:val="-1"/>
          <w:numId w:val="0"/>
        </w:numPr>
        <w:autoSpaceDE w:val="0"/>
        <w:autoSpaceDN w:val="0"/>
        <w:adjustRightInd w:val="0"/>
        <w:spacing w:after="72" w:afterLines="30" w:line="240" w:lineRule="auto"/>
        <w:ind w:left="0" w:firstLine="0"/>
        <w:jc w:val="both"/>
        <w:rPr>
          <w:rFonts w:hint="eastAsia"/>
          <w:bCs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7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67560A"/>
    <w:multiLevelType w:val="multilevel"/>
    <w:tmpl w:val="0D67560A"/>
    <w:lvl w:ilvl="0" w:tentative="0">
      <w:start w:val="1"/>
      <w:numFmt w:val="decimal"/>
      <w:pStyle w:val="128"/>
      <w:lvlText w:val="[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color w:val="FFFFFF" w:themeColor="background1"/>
        <w:sz w:val="24"/>
        <w:szCs w:val="24"/>
        <w:lang w:val="en"/>
        <w14:textFill>
          <w14:solidFill>
            <w14:schemeClr w14:val="bg1"/>
          </w14:solidFill>
        </w14:textFill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1C4C4D3E"/>
    <w:multiLevelType w:val="multilevel"/>
    <w:tmpl w:val="1C4C4D3E"/>
    <w:lvl w:ilvl="0" w:tentative="0">
      <w:start w:val="1"/>
      <w:numFmt w:val="bullet"/>
      <w:lvlText w:val=""/>
      <w:lvlJc w:val="left"/>
      <w:pPr>
        <w:ind w:left="77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3" w:hanging="360"/>
      </w:pPr>
      <w:rPr>
        <w:rFonts w:hint="default" w:ascii="Wingdings" w:hAnsi="Wingdings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F600690"/>
    <w:multiLevelType w:val="multilevel"/>
    <w:tmpl w:val="3F6006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507679AE"/>
    <w:multiLevelType w:val="multilevel"/>
    <w:tmpl w:val="507679A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7DCE42B"/>
    <w:multiLevelType w:val="multilevel"/>
    <w:tmpl w:val="77DCE42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1"/>
  </w:num>
  <w:num w:numId="10">
    <w:abstractNumId w:val="1"/>
  </w:num>
  <w:num w:numId="11">
    <w:abstractNumId w:val="6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4CF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BC9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AA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0D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90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2EF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343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4EDF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075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6FC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4B41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50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0FF8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AF7DF7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6E5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CD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09A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37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6F0C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3F0C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CFD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2F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7C5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0A84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0B14F5"/>
    <w:rsid w:val="01100347"/>
    <w:rsid w:val="01120C0E"/>
    <w:rsid w:val="01181D5F"/>
    <w:rsid w:val="011E1C44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9D1223"/>
    <w:rsid w:val="01A16B04"/>
    <w:rsid w:val="01A43B5C"/>
    <w:rsid w:val="01AD303C"/>
    <w:rsid w:val="01AF097B"/>
    <w:rsid w:val="01BA5F39"/>
    <w:rsid w:val="01C326DA"/>
    <w:rsid w:val="01CD6175"/>
    <w:rsid w:val="01CF6472"/>
    <w:rsid w:val="01D7237F"/>
    <w:rsid w:val="01E36AB4"/>
    <w:rsid w:val="01E90EAA"/>
    <w:rsid w:val="01E9562A"/>
    <w:rsid w:val="01EE1FA3"/>
    <w:rsid w:val="01F0730D"/>
    <w:rsid w:val="01F37778"/>
    <w:rsid w:val="01FC6829"/>
    <w:rsid w:val="02016BC8"/>
    <w:rsid w:val="02052204"/>
    <w:rsid w:val="0207247E"/>
    <w:rsid w:val="0218641B"/>
    <w:rsid w:val="02351B15"/>
    <w:rsid w:val="023D68E9"/>
    <w:rsid w:val="024D11F3"/>
    <w:rsid w:val="02567B4A"/>
    <w:rsid w:val="025A2B48"/>
    <w:rsid w:val="025B6E07"/>
    <w:rsid w:val="025E47C4"/>
    <w:rsid w:val="02622CBC"/>
    <w:rsid w:val="026E3A52"/>
    <w:rsid w:val="02784531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738FD"/>
    <w:rsid w:val="02A90E94"/>
    <w:rsid w:val="02AC3B9C"/>
    <w:rsid w:val="02BC1004"/>
    <w:rsid w:val="02C20A5F"/>
    <w:rsid w:val="02D8254A"/>
    <w:rsid w:val="03060AE6"/>
    <w:rsid w:val="030C5E59"/>
    <w:rsid w:val="03127134"/>
    <w:rsid w:val="03131BEB"/>
    <w:rsid w:val="03180265"/>
    <w:rsid w:val="031923E9"/>
    <w:rsid w:val="031E7C2A"/>
    <w:rsid w:val="03244425"/>
    <w:rsid w:val="032C3F12"/>
    <w:rsid w:val="032F2781"/>
    <w:rsid w:val="03314EC0"/>
    <w:rsid w:val="03335414"/>
    <w:rsid w:val="03380EE2"/>
    <w:rsid w:val="034800C3"/>
    <w:rsid w:val="036452B0"/>
    <w:rsid w:val="0365180A"/>
    <w:rsid w:val="03763069"/>
    <w:rsid w:val="037D0817"/>
    <w:rsid w:val="038113F9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D40D89"/>
    <w:rsid w:val="04D620B5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C4009"/>
    <w:rsid w:val="05ED35B8"/>
    <w:rsid w:val="05F074A4"/>
    <w:rsid w:val="05FB2CD3"/>
    <w:rsid w:val="05FB5ECE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5E0C63"/>
    <w:rsid w:val="066D645E"/>
    <w:rsid w:val="066F17E0"/>
    <w:rsid w:val="067A3DAD"/>
    <w:rsid w:val="0686332F"/>
    <w:rsid w:val="06864253"/>
    <w:rsid w:val="06A159E1"/>
    <w:rsid w:val="06A43D59"/>
    <w:rsid w:val="06A54B41"/>
    <w:rsid w:val="06AB43A3"/>
    <w:rsid w:val="06BC0D78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0B663F"/>
    <w:rsid w:val="072922C5"/>
    <w:rsid w:val="072C48B9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46AF4"/>
    <w:rsid w:val="07871DCC"/>
    <w:rsid w:val="078B07F9"/>
    <w:rsid w:val="078B5215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52789C"/>
    <w:rsid w:val="085D5801"/>
    <w:rsid w:val="0862758A"/>
    <w:rsid w:val="086A574E"/>
    <w:rsid w:val="08792428"/>
    <w:rsid w:val="087945D7"/>
    <w:rsid w:val="087E66D2"/>
    <w:rsid w:val="08807319"/>
    <w:rsid w:val="088E6842"/>
    <w:rsid w:val="089E3E2A"/>
    <w:rsid w:val="08A32F82"/>
    <w:rsid w:val="08A8345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52B3B"/>
    <w:rsid w:val="09253AF3"/>
    <w:rsid w:val="09275714"/>
    <w:rsid w:val="093120ED"/>
    <w:rsid w:val="094077F0"/>
    <w:rsid w:val="094A7455"/>
    <w:rsid w:val="09552E33"/>
    <w:rsid w:val="09566CA4"/>
    <w:rsid w:val="095C0D34"/>
    <w:rsid w:val="095F2398"/>
    <w:rsid w:val="09736BC3"/>
    <w:rsid w:val="0974287E"/>
    <w:rsid w:val="098012A2"/>
    <w:rsid w:val="09832AAA"/>
    <w:rsid w:val="09876497"/>
    <w:rsid w:val="098B7640"/>
    <w:rsid w:val="098F1481"/>
    <w:rsid w:val="09904C1A"/>
    <w:rsid w:val="0998050D"/>
    <w:rsid w:val="099F5C87"/>
    <w:rsid w:val="09A918FF"/>
    <w:rsid w:val="09AF29E2"/>
    <w:rsid w:val="09B46590"/>
    <w:rsid w:val="09DF01A9"/>
    <w:rsid w:val="09DF4DE6"/>
    <w:rsid w:val="09E15DEC"/>
    <w:rsid w:val="09E72ABF"/>
    <w:rsid w:val="09F3224C"/>
    <w:rsid w:val="09F5356A"/>
    <w:rsid w:val="09F756A5"/>
    <w:rsid w:val="09FB5032"/>
    <w:rsid w:val="0A007FB9"/>
    <w:rsid w:val="0A0248E2"/>
    <w:rsid w:val="0A175DCF"/>
    <w:rsid w:val="0A197D7E"/>
    <w:rsid w:val="0A260017"/>
    <w:rsid w:val="0A350A2E"/>
    <w:rsid w:val="0A3940D5"/>
    <w:rsid w:val="0A44449B"/>
    <w:rsid w:val="0A613380"/>
    <w:rsid w:val="0A68565C"/>
    <w:rsid w:val="0A6F1719"/>
    <w:rsid w:val="0A750E8A"/>
    <w:rsid w:val="0A752211"/>
    <w:rsid w:val="0A7C07DD"/>
    <w:rsid w:val="0A7C4051"/>
    <w:rsid w:val="0A7D67BF"/>
    <w:rsid w:val="0A860C80"/>
    <w:rsid w:val="0A8B68BA"/>
    <w:rsid w:val="0A8D2821"/>
    <w:rsid w:val="0AA061D5"/>
    <w:rsid w:val="0AAC726A"/>
    <w:rsid w:val="0AB92161"/>
    <w:rsid w:val="0ABB44F9"/>
    <w:rsid w:val="0AC139E2"/>
    <w:rsid w:val="0AC563E4"/>
    <w:rsid w:val="0AC65B07"/>
    <w:rsid w:val="0AC716D4"/>
    <w:rsid w:val="0ADC3BA7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C77165"/>
    <w:rsid w:val="0BD53636"/>
    <w:rsid w:val="0BDB773F"/>
    <w:rsid w:val="0BDC0F5C"/>
    <w:rsid w:val="0BE54882"/>
    <w:rsid w:val="0BE64F43"/>
    <w:rsid w:val="0BE9464C"/>
    <w:rsid w:val="0BE96CDD"/>
    <w:rsid w:val="0BF17147"/>
    <w:rsid w:val="0BF22E42"/>
    <w:rsid w:val="0BF454E9"/>
    <w:rsid w:val="0BF61798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E0C88"/>
    <w:rsid w:val="0C4E3D8E"/>
    <w:rsid w:val="0C4F022E"/>
    <w:rsid w:val="0C5170A3"/>
    <w:rsid w:val="0C523C07"/>
    <w:rsid w:val="0C630475"/>
    <w:rsid w:val="0C6D1617"/>
    <w:rsid w:val="0C753611"/>
    <w:rsid w:val="0C7E1A50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44F41"/>
    <w:rsid w:val="0CCF6077"/>
    <w:rsid w:val="0CD6186B"/>
    <w:rsid w:val="0CE01ED0"/>
    <w:rsid w:val="0CEA4514"/>
    <w:rsid w:val="0CED5790"/>
    <w:rsid w:val="0D02400E"/>
    <w:rsid w:val="0D051F38"/>
    <w:rsid w:val="0D0C6566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5505E9"/>
    <w:rsid w:val="0D727EA8"/>
    <w:rsid w:val="0D7946EA"/>
    <w:rsid w:val="0D834A5C"/>
    <w:rsid w:val="0D893EB2"/>
    <w:rsid w:val="0D8C4BC2"/>
    <w:rsid w:val="0D9C16DD"/>
    <w:rsid w:val="0D9C33BC"/>
    <w:rsid w:val="0DBF562F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9D3185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6013A0"/>
    <w:rsid w:val="0F617E9F"/>
    <w:rsid w:val="0F716578"/>
    <w:rsid w:val="0F753AEF"/>
    <w:rsid w:val="0F8D0B4E"/>
    <w:rsid w:val="0F8F102F"/>
    <w:rsid w:val="0FA470F8"/>
    <w:rsid w:val="0FB5088D"/>
    <w:rsid w:val="0FB97767"/>
    <w:rsid w:val="0FBF1A56"/>
    <w:rsid w:val="0FBF3418"/>
    <w:rsid w:val="0FC46A56"/>
    <w:rsid w:val="0FC57BB8"/>
    <w:rsid w:val="0FD6188A"/>
    <w:rsid w:val="0FD8292B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294528"/>
    <w:rsid w:val="102C4085"/>
    <w:rsid w:val="102C7B1C"/>
    <w:rsid w:val="103458CE"/>
    <w:rsid w:val="104E4B56"/>
    <w:rsid w:val="10532774"/>
    <w:rsid w:val="1054045C"/>
    <w:rsid w:val="10590E8D"/>
    <w:rsid w:val="105A58C1"/>
    <w:rsid w:val="10656B03"/>
    <w:rsid w:val="10706296"/>
    <w:rsid w:val="10761102"/>
    <w:rsid w:val="10797EF4"/>
    <w:rsid w:val="107D3C0E"/>
    <w:rsid w:val="1083031A"/>
    <w:rsid w:val="108778E8"/>
    <w:rsid w:val="109821F7"/>
    <w:rsid w:val="10A15189"/>
    <w:rsid w:val="10AF75A3"/>
    <w:rsid w:val="10B47A73"/>
    <w:rsid w:val="10B62B53"/>
    <w:rsid w:val="10B81757"/>
    <w:rsid w:val="10B87138"/>
    <w:rsid w:val="10BF2E44"/>
    <w:rsid w:val="10D00203"/>
    <w:rsid w:val="10D32F67"/>
    <w:rsid w:val="10D54519"/>
    <w:rsid w:val="10D57474"/>
    <w:rsid w:val="10DC0B31"/>
    <w:rsid w:val="10E91A4C"/>
    <w:rsid w:val="10ED7F30"/>
    <w:rsid w:val="10F62C5E"/>
    <w:rsid w:val="10F74BB7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7C5B35"/>
    <w:rsid w:val="11945699"/>
    <w:rsid w:val="119734D3"/>
    <w:rsid w:val="119A1E99"/>
    <w:rsid w:val="119D2515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665D7"/>
    <w:rsid w:val="11E84264"/>
    <w:rsid w:val="11EA5AEE"/>
    <w:rsid w:val="11EC3740"/>
    <w:rsid w:val="11EC6DCB"/>
    <w:rsid w:val="11FD5AD9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33BF9"/>
    <w:rsid w:val="12FE32F7"/>
    <w:rsid w:val="13002861"/>
    <w:rsid w:val="1305615F"/>
    <w:rsid w:val="13105018"/>
    <w:rsid w:val="131C5CF6"/>
    <w:rsid w:val="13227EB1"/>
    <w:rsid w:val="1328520A"/>
    <w:rsid w:val="13304E79"/>
    <w:rsid w:val="13400045"/>
    <w:rsid w:val="136661C4"/>
    <w:rsid w:val="136F49A1"/>
    <w:rsid w:val="13783516"/>
    <w:rsid w:val="137C2658"/>
    <w:rsid w:val="137E142A"/>
    <w:rsid w:val="13824BD3"/>
    <w:rsid w:val="138A039A"/>
    <w:rsid w:val="139532E4"/>
    <w:rsid w:val="139E0CE9"/>
    <w:rsid w:val="139E4B3B"/>
    <w:rsid w:val="13A30FC3"/>
    <w:rsid w:val="13A31406"/>
    <w:rsid w:val="13A90461"/>
    <w:rsid w:val="13BF1D88"/>
    <w:rsid w:val="13C94CE2"/>
    <w:rsid w:val="13D47C68"/>
    <w:rsid w:val="13DE3682"/>
    <w:rsid w:val="13E44672"/>
    <w:rsid w:val="13EB3632"/>
    <w:rsid w:val="13ED26CD"/>
    <w:rsid w:val="14237882"/>
    <w:rsid w:val="143E1552"/>
    <w:rsid w:val="143F6AFF"/>
    <w:rsid w:val="14491D72"/>
    <w:rsid w:val="14636334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D55947"/>
    <w:rsid w:val="14E04496"/>
    <w:rsid w:val="14E33F78"/>
    <w:rsid w:val="14EA76A8"/>
    <w:rsid w:val="14EB34AC"/>
    <w:rsid w:val="14EB6105"/>
    <w:rsid w:val="14F2308B"/>
    <w:rsid w:val="14FB7174"/>
    <w:rsid w:val="14FD6BC6"/>
    <w:rsid w:val="15064D14"/>
    <w:rsid w:val="151B42D6"/>
    <w:rsid w:val="151C496B"/>
    <w:rsid w:val="153C511F"/>
    <w:rsid w:val="153D04B8"/>
    <w:rsid w:val="154239ED"/>
    <w:rsid w:val="154D51FF"/>
    <w:rsid w:val="1555109B"/>
    <w:rsid w:val="155F58CA"/>
    <w:rsid w:val="1560619C"/>
    <w:rsid w:val="15640CE3"/>
    <w:rsid w:val="156B69AA"/>
    <w:rsid w:val="15700B17"/>
    <w:rsid w:val="15804889"/>
    <w:rsid w:val="1584685F"/>
    <w:rsid w:val="158570C9"/>
    <w:rsid w:val="1592090C"/>
    <w:rsid w:val="159B4CCA"/>
    <w:rsid w:val="159D5808"/>
    <w:rsid w:val="15A46E63"/>
    <w:rsid w:val="15A52865"/>
    <w:rsid w:val="15A8233B"/>
    <w:rsid w:val="15AB3CC0"/>
    <w:rsid w:val="15B45159"/>
    <w:rsid w:val="15C562E2"/>
    <w:rsid w:val="15CB33A7"/>
    <w:rsid w:val="15CF116D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4479C"/>
    <w:rsid w:val="16270C37"/>
    <w:rsid w:val="162B3FD9"/>
    <w:rsid w:val="163539B0"/>
    <w:rsid w:val="163618FC"/>
    <w:rsid w:val="163A4FD7"/>
    <w:rsid w:val="16482066"/>
    <w:rsid w:val="165243D6"/>
    <w:rsid w:val="1654399A"/>
    <w:rsid w:val="16553AA9"/>
    <w:rsid w:val="166415C4"/>
    <w:rsid w:val="167004C7"/>
    <w:rsid w:val="1670292F"/>
    <w:rsid w:val="16876F47"/>
    <w:rsid w:val="16893317"/>
    <w:rsid w:val="169979F2"/>
    <w:rsid w:val="16A8222F"/>
    <w:rsid w:val="16B70F95"/>
    <w:rsid w:val="16C74663"/>
    <w:rsid w:val="16DE10C7"/>
    <w:rsid w:val="16E353AF"/>
    <w:rsid w:val="16EE785C"/>
    <w:rsid w:val="17005BF2"/>
    <w:rsid w:val="170365A1"/>
    <w:rsid w:val="17150DAB"/>
    <w:rsid w:val="17164904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75810"/>
    <w:rsid w:val="1758341D"/>
    <w:rsid w:val="176075D3"/>
    <w:rsid w:val="176209E7"/>
    <w:rsid w:val="1768007F"/>
    <w:rsid w:val="176A68C8"/>
    <w:rsid w:val="17870808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7F738E5"/>
    <w:rsid w:val="18321DF7"/>
    <w:rsid w:val="1837788C"/>
    <w:rsid w:val="183C56E3"/>
    <w:rsid w:val="184173E8"/>
    <w:rsid w:val="18441338"/>
    <w:rsid w:val="184C0F15"/>
    <w:rsid w:val="18545A97"/>
    <w:rsid w:val="185826DA"/>
    <w:rsid w:val="185A5120"/>
    <w:rsid w:val="18611EA0"/>
    <w:rsid w:val="18653077"/>
    <w:rsid w:val="18670E4D"/>
    <w:rsid w:val="186E2B2D"/>
    <w:rsid w:val="187619E6"/>
    <w:rsid w:val="187E5D26"/>
    <w:rsid w:val="1894179F"/>
    <w:rsid w:val="18A116BD"/>
    <w:rsid w:val="18AD2830"/>
    <w:rsid w:val="18AD518E"/>
    <w:rsid w:val="18BB4C10"/>
    <w:rsid w:val="18D856D1"/>
    <w:rsid w:val="18DF2356"/>
    <w:rsid w:val="18F6629D"/>
    <w:rsid w:val="1939490B"/>
    <w:rsid w:val="194D7435"/>
    <w:rsid w:val="197536BB"/>
    <w:rsid w:val="19791462"/>
    <w:rsid w:val="19806D56"/>
    <w:rsid w:val="19864661"/>
    <w:rsid w:val="1988153A"/>
    <w:rsid w:val="19A14221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A055C38"/>
    <w:rsid w:val="1A087D0E"/>
    <w:rsid w:val="1A09099C"/>
    <w:rsid w:val="1A0E07A1"/>
    <w:rsid w:val="1A0E7437"/>
    <w:rsid w:val="1A2E6712"/>
    <w:rsid w:val="1A315DD1"/>
    <w:rsid w:val="1A3A4F94"/>
    <w:rsid w:val="1A5363F7"/>
    <w:rsid w:val="1A65142D"/>
    <w:rsid w:val="1A6A5999"/>
    <w:rsid w:val="1A6B3616"/>
    <w:rsid w:val="1A872A12"/>
    <w:rsid w:val="1A8D28D6"/>
    <w:rsid w:val="1A8E00E9"/>
    <w:rsid w:val="1A9226AE"/>
    <w:rsid w:val="1AC176FB"/>
    <w:rsid w:val="1AD03F0F"/>
    <w:rsid w:val="1AE82E43"/>
    <w:rsid w:val="1AF1433B"/>
    <w:rsid w:val="1AFC1C91"/>
    <w:rsid w:val="1B074DA9"/>
    <w:rsid w:val="1B095903"/>
    <w:rsid w:val="1B0C26CA"/>
    <w:rsid w:val="1B0C6512"/>
    <w:rsid w:val="1B135D29"/>
    <w:rsid w:val="1B351EE8"/>
    <w:rsid w:val="1B3B734E"/>
    <w:rsid w:val="1B47751A"/>
    <w:rsid w:val="1B4D3741"/>
    <w:rsid w:val="1B551190"/>
    <w:rsid w:val="1B55577C"/>
    <w:rsid w:val="1B617053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06A41"/>
    <w:rsid w:val="1C04440C"/>
    <w:rsid w:val="1C0556D6"/>
    <w:rsid w:val="1C0B74FC"/>
    <w:rsid w:val="1C101482"/>
    <w:rsid w:val="1C20757A"/>
    <w:rsid w:val="1C263616"/>
    <w:rsid w:val="1C2E7919"/>
    <w:rsid w:val="1C2F45BE"/>
    <w:rsid w:val="1C316715"/>
    <w:rsid w:val="1C377675"/>
    <w:rsid w:val="1C3D50A3"/>
    <w:rsid w:val="1C4F06A2"/>
    <w:rsid w:val="1C757F7F"/>
    <w:rsid w:val="1C787286"/>
    <w:rsid w:val="1C7A531A"/>
    <w:rsid w:val="1C7B3EC6"/>
    <w:rsid w:val="1C7D7EB8"/>
    <w:rsid w:val="1C800FF8"/>
    <w:rsid w:val="1C8801E2"/>
    <w:rsid w:val="1C923771"/>
    <w:rsid w:val="1C924399"/>
    <w:rsid w:val="1C9A5EA0"/>
    <w:rsid w:val="1C9A6A63"/>
    <w:rsid w:val="1C9F6C4A"/>
    <w:rsid w:val="1CBB0F59"/>
    <w:rsid w:val="1CBB7CFB"/>
    <w:rsid w:val="1CBE2DAD"/>
    <w:rsid w:val="1CC7659B"/>
    <w:rsid w:val="1CCF089C"/>
    <w:rsid w:val="1CD41FC4"/>
    <w:rsid w:val="1CD955BC"/>
    <w:rsid w:val="1CF52455"/>
    <w:rsid w:val="1CFB4DD2"/>
    <w:rsid w:val="1CFD2C50"/>
    <w:rsid w:val="1D115009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805237"/>
    <w:rsid w:val="1D810454"/>
    <w:rsid w:val="1D930C98"/>
    <w:rsid w:val="1D9C1DFE"/>
    <w:rsid w:val="1DA2040C"/>
    <w:rsid w:val="1DA533ED"/>
    <w:rsid w:val="1DA83214"/>
    <w:rsid w:val="1DB65020"/>
    <w:rsid w:val="1DC41BB0"/>
    <w:rsid w:val="1DC65AF6"/>
    <w:rsid w:val="1DC87694"/>
    <w:rsid w:val="1DCB08F7"/>
    <w:rsid w:val="1DE207F5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E7A0E"/>
    <w:rsid w:val="1E4F1888"/>
    <w:rsid w:val="1E5A7EBF"/>
    <w:rsid w:val="1E626360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214E6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16894"/>
    <w:rsid w:val="1F123352"/>
    <w:rsid w:val="1F1659F6"/>
    <w:rsid w:val="1F3B75FF"/>
    <w:rsid w:val="1F3F34F5"/>
    <w:rsid w:val="1F41163A"/>
    <w:rsid w:val="1F546471"/>
    <w:rsid w:val="1F5772DA"/>
    <w:rsid w:val="1F5C3C4E"/>
    <w:rsid w:val="1F67223D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CC1591"/>
    <w:rsid w:val="1FD27016"/>
    <w:rsid w:val="1FD479BA"/>
    <w:rsid w:val="1FD55230"/>
    <w:rsid w:val="1FD641AB"/>
    <w:rsid w:val="1FE15B0A"/>
    <w:rsid w:val="1FE854DC"/>
    <w:rsid w:val="20006656"/>
    <w:rsid w:val="20084F74"/>
    <w:rsid w:val="200C6F0C"/>
    <w:rsid w:val="201D4044"/>
    <w:rsid w:val="201E5A7F"/>
    <w:rsid w:val="20213B0F"/>
    <w:rsid w:val="20252FCF"/>
    <w:rsid w:val="202C6A57"/>
    <w:rsid w:val="20323C6D"/>
    <w:rsid w:val="20347263"/>
    <w:rsid w:val="203E746B"/>
    <w:rsid w:val="20450A76"/>
    <w:rsid w:val="20455F9C"/>
    <w:rsid w:val="20484A82"/>
    <w:rsid w:val="205358CB"/>
    <w:rsid w:val="20543631"/>
    <w:rsid w:val="20565824"/>
    <w:rsid w:val="20734912"/>
    <w:rsid w:val="208B227B"/>
    <w:rsid w:val="208B79B3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27C05"/>
    <w:rsid w:val="20C05709"/>
    <w:rsid w:val="20CA4CDE"/>
    <w:rsid w:val="20E37B38"/>
    <w:rsid w:val="20EA32FE"/>
    <w:rsid w:val="20F17C8F"/>
    <w:rsid w:val="20FE3807"/>
    <w:rsid w:val="2110320E"/>
    <w:rsid w:val="212B15F0"/>
    <w:rsid w:val="212D241D"/>
    <w:rsid w:val="21485CC6"/>
    <w:rsid w:val="2150457A"/>
    <w:rsid w:val="215E0FE1"/>
    <w:rsid w:val="21704749"/>
    <w:rsid w:val="21863D47"/>
    <w:rsid w:val="21882C92"/>
    <w:rsid w:val="218A0326"/>
    <w:rsid w:val="218B5863"/>
    <w:rsid w:val="21963AE9"/>
    <w:rsid w:val="219648AE"/>
    <w:rsid w:val="219926C2"/>
    <w:rsid w:val="21B53384"/>
    <w:rsid w:val="21B92386"/>
    <w:rsid w:val="21CC6790"/>
    <w:rsid w:val="21CD03F5"/>
    <w:rsid w:val="21CD469C"/>
    <w:rsid w:val="21CF7D11"/>
    <w:rsid w:val="21D33ED7"/>
    <w:rsid w:val="21D71CCE"/>
    <w:rsid w:val="21D90300"/>
    <w:rsid w:val="21DB194C"/>
    <w:rsid w:val="21E52F02"/>
    <w:rsid w:val="21E7264A"/>
    <w:rsid w:val="21EB7BC0"/>
    <w:rsid w:val="21EC11B4"/>
    <w:rsid w:val="21F139D9"/>
    <w:rsid w:val="21F75252"/>
    <w:rsid w:val="21FB0EA3"/>
    <w:rsid w:val="21FC15A7"/>
    <w:rsid w:val="22063857"/>
    <w:rsid w:val="22166F19"/>
    <w:rsid w:val="221B34F2"/>
    <w:rsid w:val="22243C81"/>
    <w:rsid w:val="22243ED5"/>
    <w:rsid w:val="223B79DE"/>
    <w:rsid w:val="223E4404"/>
    <w:rsid w:val="224B437A"/>
    <w:rsid w:val="224D0D69"/>
    <w:rsid w:val="225C6D59"/>
    <w:rsid w:val="2290426C"/>
    <w:rsid w:val="22A91330"/>
    <w:rsid w:val="22B342A1"/>
    <w:rsid w:val="22B34785"/>
    <w:rsid w:val="22B37922"/>
    <w:rsid w:val="22B45A21"/>
    <w:rsid w:val="22CA15E4"/>
    <w:rsid w:val="22D04F77"/>
    <w:rsid w:val="22F149E7"/>
    <w:rsid w:val="22FA02E3"/>
    <w:rsid w:val="22FD52E0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9154F8"/>
    <w:rsid w:val="239867D3"/>
    <w:rsid w:val="23A60BED"/>
    <w:rsid w:val="23AF20CF"/>
    <w:rsid w:val="23BE0C34"/>
    <w:rsid w:val="23EE567F"/>
    <w:rsid w:val="23FE39DA"/>
    <w:rsid w:val="24065B68"/>
    <w:rsid w:val="241B4EFA"/>
    <w:rsid w:val="2422724B"/>
    <w:rsid w:val="243D3FB5"/>
    <w:rsid w:val="245B7134"/>
    <w:rsid w:val="246F1B15"/>
    <w:rsid w:val="24794BB2"/>
    <w:rsid w:val="2485277B"/>
    <w:rsid w:val="248F2AEF"/>
    <w:rsid w:val="2492033C"/>
    <w:rsid w:val="249D3DA9"/>
    <w:rsid w:val="24A563EF"/>
    <w:rsid w:val="24AD6B35"/>
    <w:rsid w:val="24B13323"/>
    <w:rsid w:val="24C6327F"/>
    <w:rsid w:val="24D834E8"/>
    <w:rsid w:val="24EA2AB5"/>
    <w:rsid w:val="24FA7582"/>
    <w:rsid w:val="24FD2B02"/>
    <w:rsid w:val="25024CF1"/>
    <w:rsid w:val="25036BCD"/>
    <w:rsid w:val="25112921"/>
    <w:rsid w:val="25153A7B"/>
    <w:rsid w:val="251A5BDD"/>
    <w:rsid w:val="251B4C7B"/>
    <w:rsid w:val="251B7C63"/>
    <w:rsid w:val="25263F20"/>
    <w:rsid w:val="252873F1"/>
    <w:rsid w:val="252F41B5"/>
    <w:rsid w:val="25324381"/>
    <w:rsid w:val="253E482D"/>
    <w:rsid w:val="25415276"/>
    <w:rsid w:val="25442C2C"/>
    <w:rsid w:val="25443395"/>
    <w:rsid w:val="25480684"/>
    <w:rsid w:val="254B11E9"/>
    <w:rsid w:val="255514A1"/>
    <w:rsid w:val="255B6449"/>
    <w:rsid w:val="257A1E7C"/>
    <w:rsid w:val="258007D6"/>
    <w:rsid w:val="25892068"/>
    <w:rsid w:val="25A534F7"/>
    <w:rsid w:val="25B40894"/>
    <w:rsid w:val="25B85AFD"/>
    <w:rsid w:val="25C1645F"/>
    <w:rsid w:val="25D80A4D"/>
    <w:rsid w:val="25F92FDB"/>
    <w:rsid w:val="26001A57"/>
    <w:rsid w:val="26022936"/>
    <w:rsid w:val="260318BD"/>
    <w:rsid w:val="26095F44"/>
    <w:rsid w:val="261B01E3"/>
    <w:rsid w:val="261D73E8"/>
    <w:rsid w:val="263142D4"/>
    <w:rsid w:val="26447916"/>
    <w:rsid w:val="265E0639"/>
    <w:rsid w:val="2661284F"/>
    <w:rsid w:val="266866BD"/>
    <w:rsid w:val="26696824"/>
    <w:rsid w:val="266C42F7"/>
    <w:rsid w:val="267109C3"/>
    <w:rsid w:val="267365C7"/>
    <w:rsid w:val="268A5924"/>
    <w:rsid w:val="268C5E98"/>
    <w:rsid w:val="26972C43"/>
    <w:rsid w:val="26A47A01"/>
    <w:rsid w:val="26CB7903"/>
    <w:rsid w:val="26D11F9C"/>
    <w:rsid w:val="26D771E7"/>
    <w:rsid w:val="26DD35B9"/>
    <w:rsid w:val="26E66172"/>
    <w:rsid w:val="26ED2E1C"/>
    <w:rsid w:val="26EF6891"/>
    <w:rsid w:val="26F82DE5"/>
    <w:rsid w:val="270428B2"/>
    <w:rsid w:val="27064754"/>
    <w:rsid w:val="271313BF"/>
    <w:rsid w:val="27190AE2"/>
    <w:rsid w:val="2728538E"/>
    <w:rsid w:val="272F28E5"/>
    <w:rsid w:val="273E000B"/>
    <w:rsid w:val="2754776F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00FF1"/>
    <w:rsid w:val="27A2492F"/>
    <w:rsid w:val="27A26DCC"/>
    <w:rsid w:val="27A31B4E"/>
    <w:rsid w:val="27B947C2"/>
    <w:rsid w:val="27DB36C2"/>
    <w:rsid w:val="27DB4429"/>
    <w:rsid w:val="27EE4629"/>
    <w:rsid w:val="27EF0EAD"/>
    <w:rsid w:val="28052235"/>
    <w:rsid w:val="281430C3"/>
    <w:rsid w:val="28152F24"/>
    <w:rsid w:val="281671B7"/>
    <w:rsid w:val="281E3EAE"/>
    <w:rsid w:val="28270174"/>
    <w:rsid w:val="28395805"/>
    <w:rsid w:val="285D13A9"/>
    <w:rsid w:val="28621496"/>
    <w:rsid w:val="28650D72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DC2D9C"/>
    <w:rsid w:val="28E04CC8"/>
    <w:rsid w:val="28EB5815"/>
    <w:rsid w:val="28EC35B0"/>
    <w:rsid w:val="28F905BC"/>
    <w:rsid w:val="28FA5BE1"/>
    <w:rsid w:val="2903032F"/>
    <w:rsid w:val="290403ED"/>
    <w:rsid w:val="29065C1C"/>
    <w:rsid w:val="290B3ADD"/>
    <w:rsid w:val="29242AD0"/>
    <w:rsid w:val="29251C92"/>
    <w:rsid w:val="2938134F"/>
    <w:rsid w:val="29415D74"/>
    <w:rsid w:val="29421D49"/>
    <w:rsid w:val="294228F6"/>
    <w:rsid w:val="2954117E"/>
    <w:rsid w:val="295B0F1F"/>
    <w:rsid w:val="295B72FD"/>
    <w:rsid w:val="296854E7"/>
    <w:rsid w:val="29685971"/>
    <w:rsid w:val="29694265"/>
    <w:rsid w:val="296D615D"/>
    <w:rsid w:val="296E145D"/>
    <w:rsid w:val="29703F71"/>
    <w:rsid w:val="29705FD0"/>
    <w:rsid w:val="297A08C7"/>
    <w:rsid w:val="297A51BC"/>
    <w:rsid w:val="298D58DE"/>
    <w:rsid w:val="299D603F"/>
    <w:rsid w:val="29A9096D"/>
    <w:rsid w:val="29C80DF2"/>
    <w:rsid w:val="29D2154B"/>
    <w:rsid w:val="29EA7C93"/>
    <w:rsid w:val="29F31B60"/>
    <w:rsid w:val="29FD3CFC"/>
    <w:rsid w:val="29FF2DEE"/>
    <w:rsid w:val="2A010675"/>
    <w:rsid w:val="2A0555DF"/>
    <w:rsid w:val="2A074829"/>
    <w:rsid w:val="2A14007E"/>
    <w:rsid w:val="2A164EBF"/>
    <w:rsid w:val="2A1F294B"/>
    <w:rsid w:val="2A203DF6"/>
    <w:rsid w:val="2A397752"/>
    <w:rsid w:val="2A3D2220"/>
    <w:rsid w:val="2A460ABD"/>
    <w:rsid w:val="2A483EE6"/>
    <w:rsid w:val="2A4D0763"/>
    <w:rsid w:val="2A55053C"/>
    <w:rsid w:val="2A612E01"/>
    <w:rsid w:val="2A63223B"/>
    <w:rsid w:val="2A6625BB"/>
    <w:rsid w:val="2A69502D"/>
    <w:rsid w:val="2A6F665D"/>
    <w:rsid w:val="2A7B1A6A"/>
    <w:rsid w:val="2A955755"/>
    <w:rsid w:val="2AA71F23"/>
    <w:rsid w:val="2AA824F5"/>
    <w:rsid w:val="2AAC31F0"/>
    <w:rsid w:val="2AAF4827"/>
    <w:rsid w:val="2AB17574"/>
    <w:rsid w:val="2AB87157"/>
    <w:rsid w:val="2ABA6525"/>
    <w:rsid w:val="2AC65178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508C6"/>
    <w:rsid w:val="2B181E15"/>
    <w:rsid w:val="2B1D5E9C"/>
    <w:rsid w:val="2B1F7E02"/>
    <w:rsid w:val="2B243409"/>
    <w:rsid w:val="2B275FA7"/>
    <w:rsid w:val="2B310AA4"/>
    <w:rsid w:val="2B34404C"/>
    <w:rsid w:val="2B3B3627"/>
    <w:rsid w:val="2B415AEC"/>
    <w:rsid w:val="2B492D37"/>
    <w:rsid w:val="2B503BE9"/>
    <w:rsid w:val="2B512E76"/>
    <w:rsid w:val="2B554BD0"/>
    <w:rsid w:val="2B5D4286"/>
    <w:rsid w:val="2B620075"/>
    <w:rsid w:val="2B622D11"/>
    <w:rsid w:val="2B6241D0"/>
    <w:rsid w:val="2B6635C4"/>
    <w:rsid w:val="2B7327A0"/>
    <w:rsid w:val="2B7B3555"/>
    <w:rsid w:val="2B920191"/>
    <w:rsid w:val="2B985EDD"/>
    <w:rsid w:val="2BA16E17"/>
    <w:rsid w:val="2BA57E72"/>
    <w:rsid w:val="2BA63509"/>
    <w:rsid w:val="2BA91C7D"/>
    <w:rsid w:val="2BAD07D7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2F33CF"/>
    <w:rsid w:val="2C343D09"/>
    <w:rsid w:val="2C576BEC"/>
    <w:rsid w:val="2C5E5584"/>
    <w:rsid w:val="2C686023"/>
    <w:rsid w:val="2C6C33C4"/>
    <w:rsid w:val="2C757714"/>
    <w:rsid w:val="2C7D09EA"/>
    <w:rsid w:val="2C824963"/>
    <w:rsid w:val="2C8766FB"/>
    <w:rsid w:val="2C8A06AB"/>
    <w:rsid w:val="2C907E61"/>
    <w:rsid w:val="2C9265BF"/>
    <w:rsid w:val="2C9B65C3"/>
    <w:rsid w:val="2CB1729E"/>
    <w:rsid w:val="2CB266D0"/>
    <w:rsid w:val="2CBD7757"/>
    <w:rsid w:val="2CC44E07"/>
    <w:rsid w:val="2CC569CB"/>
    <w:rsid w:val="2CC74803"/>
    <w:rsid w:val="2CCE1CF6"/>
    <w:rsid w:val="2CCE41BC"/>
    <w:rsid w:val="2CEB5CD0"/>
    <w:rsid w:val="2D131CAD"/>
    <w:rsid w:val="2D1929EF"/>
    <w:rsid w:val="2D1E36F5"/>
    <w:rsid w:val="2D24335D"/>
    <w:rsid w:val="2D2E00AD"/>
    <w:rsid w:val="2D317FAA"/>
    <w:rsid w:val="2D39472D"/>
    <w:rsid w:val="2D47247F"/>
    <w:rsid w:val="2D4C0E52"/>
    <w:rsid w:val="2D4C5395"/>
    <w:rsid w:val="2D522DE8"/>
    <w:rsid w:val="2D533456"/>
    <w:rsid w:val="2D5809C0"/>
    <w:rsid w:val="2D614A43"/>
    <w:rsid w:val="2D623805"/>
    <w:rsid w:val="2D6D3CA2"/>
    <w:rsid w:val="2D7048BA"/>
    <w:rsid w:val="2D781D43"/>
    <w:rsid w:val="2D7D7121"/>
    <w:rsid w:val="2D854A69"/>
    <w:rsid w:val="2DA74F81"/>
    <w:rsid w:val="2DAB42E1"/>
    <w:rsid w:val="2DB26597"/>
    <w:rsid w:val="2DB5614E"/>
    <w:rsid w:val="2DCB194C"/>
    <w:rsid w:val="2DD47F28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465602"/>
    <w:rsid w:val="2E572CC0"/>
    <w:rsid w:val="2E5863B2"/>
    <w:rsid w:val="2E731405"/>
    <w:rsid w:val="2EA13F74"/>
    <w:rsid w:val="2EB005F7"/>
    <w:rsid w:val="2EB14523"/>
    <w:rsid w:val="2EB5032D"/>
    <w:rsid w:val="2ED42187"/>
    <w:rsid w:val="2EDB1B05"/>
    <w:rsid w:val="2EDE6E27"/>
    <w:rsid w:val="2EE124DD"/>
    <w:rsid w:val="2EE32FFB"/>
    <w:rsid w:val="2EE70CD5"/>
    <w:rsid w:val="2EEF4A6B"/>
    <w:rsid w:val="2EFC3B1C"/>
    <w:rsid w:val="2F016955"/>
    <w:rsid w:val="2F0D112B"/>
    <w:rsid w:val="2F211370"/>
    <w:rsid w:val="2F397876"/>
    <w:rsid w:val="2F3A54E2"/>
    <w:rsid w:val="2F413369"/>
    <w:rsid w:val="2F4F5EEC"/>
    <w:rsid w:val="2F525F81"/>
    <w:rsid w:val="2F5551FE"/>
    <w:rsid w:val="2F583642"/>
    <w:rsid w:val="2F6126A2"/>
    <w:rsid w:val="2F635CF8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24D52"/>
    <w:rsid w:val="2FD04C09"/>
    <w:rsid w:val="2FD70B71"/>
    <w:rsid w:val="2FD804D0"/>
    <w:rsid w:val="2FE842B0"/>
    <w:rsid w:val="2FF51385"/>
    <w:rsid w:val="2FF714B8"/>
    <w:rsid w:val="2FFE0E4A"/>
    <w:rsid w:val="30032FEE"/>
    <w:rsid w:val="300635B2"/>
    <w:rsid w:val="300D11EE"/>
    <w:rsid w:val="30214C7E"/>
    <w:rsid w:val="302F6ADD"/>
    <w:rsid w:val="303A4542"/>
    <w:rsid w:val="3042487F"/>
    <w:rsid w:val="30424B95"/>
    <w:rsid w:val="304D5D1A"/>
    <w:rsid w:val="304F6507"/>
    <w:rsid w:val="305B6E73"/>
    <w:rsid w:val="305E79BD"/>
    <w:rsid w:val="30624751"/>
    <w:rsid w:val="307C63D6"/>
    <w:rsid w:val="3081657F"/>
    <w:rsid w:val="308510AC"/>
    <w:rsid w:val="309D0C02"/>
    <w:rsid w:val="309E55A3"/>
    <w:rsid w:val="30A64A4F"/>
    <w:rsid w:val="30AB4AAC"/>
    <w:rsid w:val="30B31354"/>
    <w:rsid w:val="30B31546"/>
    <w:rsid w:val="30CC589B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4E4A7A"/>
    <w:rsid w:val="317B6247"/>
    <w:rsid w:val="317E05A4"/>
    <w:rsid w:val="3184584E"/>
    <w:rsid w:val="31890AFA"/>
    <w:rsid w:val="319358D6"/>
    <w:rsid w:val="31942C78"/>
    <w:rsid w:val="31B575A2"/>
    <w:rsid w:val="31C94BC3"/>
    <w:rsid w:val="31E159BF"/>
    <w:rsid w:val="31E31A45"/>
    <w:rsid w:val="31EE1B5E"/>
    <w:rsid w:val="31F95C2B"/>
    <w:rsid w:val="321D0095"/>
    <w:rsid w:val="321D6B3D"/>
    <w:rsid w:val="32270B61"/>
    <w:rsid w:val="323B4545"/>
    <w:rsid w:val="323E51C2"/>
    <w:rsid w:val="32443AC2"/>
    <w:rsid w:val="32563927"/>
    <w:rsid w:val="326052C1"/>
    <w:rsid w:val="32644F9E"/>
    <w:rsid w:val="326B0BAF"/>
    <w:rsid w:val="32764D1D"/>
    <w:rsid w:val="32844B47"/>
    <w:rsid w:val="3288180B"/>
    <w:rsid w:val="32AC064F"/>
    <w:rsid w:val="32AE0FBD"/>
    <w:rsid w:val="32B44688"/>
    <w:rsid w:val="32D23AA1"/>
    <w:rsid w:val="32E7237C"/>
    <w:rsid w:val="32FA4E00"/>
    <w:rsid w:val="33050A99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68695C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43369C"/>
    <w:rsid w:val="34516FC2"/>
    <w:rsid w:val="34555684"/>
    <w:rsid w:val="345E624E"/>
    <w:rsid w:val="34603A1E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ED7908"/>
    <w:rsid w:val="34F2252E"/>
    <w:rsid w:val="34F76022"/>
    <w:rsid w:val="35027278"/>
    <w:rsid w:val="350634D3"/>
    <w:rsid w:val="35117A4E"/>
    <w:rsid w:val="35194A87"/>
    <w:rsid w:val="351E6210"/>
    <w:rsid w:val="35200F8A"/>
    <w:rsid w:val="352C21B2"/>
    <w:rsid w:val="352E3103"/>
    <w:rsid w:val="353D699B"/>
    <w:rsid w:val="35441378"/>
    <w:rsid w:val="354C204D"/>
    <w:rsid w:val="35533710"/>
    <w:rsid w:val="35616185"/>
    <w:rsid w:val="356C7D73"/>
    <w:rsid w:val="357E1639"/>
    <w:rsid w:val="35834702"/>
    <w:rsid w:val="3586245B"/>
    <w:rsid w:val="35952CEE"/>
    <w:rsid w:val="35A437E8"/>
    <w:rsid w:val="35AF1A13"/>
    <w:rsid w:val="35B64FD1"/>
    <w:rsid w:val="35BD4078"/>
    <w:rsid w:val="35CE48BF"/>
    <w:rsid w:val="35CF7093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307170"/>
    <w:rsid w:val="36404B8B"/>
    <w:rsid w:val="36471A5E"/>
    <w:rsid w:val="364931EB"/>
    <w:rsid w:val="364B0623"/>
    <w:rsid w:val="3667341B"/>
    <w:rsid w:val="36751470"/>
    <w:rsid w:val="368570BB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40120"/>
    <w:rsid w:val="377B1BC4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7FB4844"/>
    <w:rsid w:val="37FD2F87"/>
    <w:rsid w:val="38192543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7768D1"/>
    <w:rsid w:val="38827701"/>
    <w:rsid w:val="3887059F"/>
    <w:rsid w:val="38880168"/>
    <w:rsid w:val="388B355E"/>
    <w:rsid w:val="388F0D9F"/>
    <w:rsid w:val="38922097"/>
    <w:rsid w:val="38BB4ED2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3E1D75"/>
    <w:rsid w:val="3941699F"/>
    <w:rsid w:val="39464659"/>
    <w:rsid w:val="39563559"/>
    <w:rsid w:val="39570EDE"/>
    <w:rsid w:val="395B167E"/>
    <w:rsid w:val="39615265"/>
    <w:rsid w:val="39656815"/>
    <w:rsid w:val="397D6F73"/>
    <w:rsid w:val="39802ECC"/>
    <w:rsid w:val="39824946"/>
    <w:rsid w:val="39865E81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80274"/>
    <w:rsid w:val="3AD445AD"/>
    <w:rsid w:val="3AD86362"/>
    <w:rsid w:val="3AE801A7"/>
    <w:rsid w:val="3AED2A09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D1C76"/>
    <w:rsid w:val="3B2F38BD"/>
    <w:rsid w:val="3B33288C"/>
    <w:rsid w:val="3B3A1E8F"/>
    <w:rsid w:val="3B3F739A"/>
    <w:rsid w:val="3B437BA1"/>
    <w:rsid w:val="3B6B49ED"/>
    <w:rsid w:val="3B753374"/>
    <w:rsid w:val="3B762EC6"/>
    <w:rsid w:val="3B791F2E"/>
    <w:rsid w:val="3B79750B"/>
    <w:rsid w:val="3B7B29BE"/>
    <w:rsid w:val="3B7D3926"/>
    <w:rsid w:val="3B84617D"/>
    <w:rsid w:val="3B8B309C"/>
    <w:rsid w:val="3BB723BA"/>
    <w:rsid w:val="3BBA3AFF"/>
    <w:rsid w:val="3BCA1F1C"/>
    <w:rsid w:val="3BCC13D8"/>
    <w:rsid w:val="3BD820FE"/>
    <w:rsid w:val="3BD96DAD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774E66"/>
    <w:rsid w:val="3C793FAF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81D6B"/>
    <w:rsid w:val="3D1C0B24"/>
    <w:rsid w:val="3D281E46"/>
    <w:rsid w:val="3D2D17BF"/>
    <w:rsid w:val="3D3C210D"/>
    <w:rsid w:val="3D575AE9"/>
    <w:rsid w:val="3D5A3B41"/>
    <w:rsid w:val="3D5F5D82"/>
    <w:rsid w:val="3D60278F"/>
    <w:rsid w:val="3D6636D8"/>
    <w:rsid w:val="3D676FE6"/>
    <w:rsid w:val="3D6C4DCE"/>
    <w:rsid w:val="3D7D68E8"/>
    <w:rsid w:val="3D816473"/>
    <w:rsid w:val="3D91542E"/>
    <w:rsid w:val="3D924D76"/>
    <w:rsid w:val="3D936176"/>
    <w:rsid w:val="3DA605F1"/>
    <w:rsid w:val="3DB624D6"/>
    <w:rsid w:val="3DC96A91"/>
    <w:rsid w:val="3DCE4212"/>
    <w:rsid w:val="3DD94742"/>
    <w:rsid w:val="3DE50A71"/>
    <w:rsid w:val="3DE64D3F"/>
    <w:rsid w:val="3DEF682D"/>
    <w:rsid w:val="3DF15DDC"/>
    <w:rsid w:val="3DF43ED5"/>
    <w:rsid w:val="3DFC219C"/>
    <w:rsid w:val="3DFF7E14"/>
    <w:rsid w:val="3E0B107A"/>
    <w:rsid w:val="3E1D3429"/>
    <w:rsid w:val="3E297137"/>
    <w:rsid w:val="3E320EDF"/>
    <w:rsid w:val="3E4B5902"/>
    <w:rsid w:val="3E5E47FF"/>
    <w:rsid w:val="3E620DC8"/>
    <w:rsid w:val="3E650593"/>
    <w:rsid w:val="3E67564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C25BCA"/>
    <w:rsid w:val="3ECC2D0E"/>
    <w:rsid w:val="3F0455DD"/>
    <w:rsid w:val="3F075FB1"/>
    <w:rsid w:val="3F1074D7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5B19BB"/>
    <w:rsid w:val="3F674097"/>
    <w:rsid w:val="3F6B0F2F"/>
    <w:rsid w:val="3F6E5E95"/>
    <w:rsid w:val="3F6E7226"/>
    <w:rsid w:val="3F7418AC"/>
    <w:rsid w:val="3F7B467C"/>
    <w:rsid w:val="3F7F4BFD"/>
    <w:rsid w:val="3F8534F2"/>
    <w:rsid w:val="3F8D44E0"/>
    <w:rsid w:val="3F8D6CDE"/>
    <w:rsid w:val="3F9C3E7C"/>
    <w:rsid w:val="3FB37803"/>
    <w:rsid w:val="3FBE27AD"/>
    <w:rsid w:val="3FC15165"/>
    <w:rsid w:val="3FEB0F5D"/>
    <w:rsid w:val="3FED37A2"/>
    <w:rsid w:val="3FF76865"/>
    <w:rsid w:val="3FF8C8EC"/>
    <w:rsid w:val="3FFEB7FE"/>
    <w:rsid w:val="40097753"/>
    <w:rsid w:val="400A538D"/>
    <w:rsid w:val="401041CC"/>
    <w:rsid w:val="401C0644"/>
    <w:rsid w:val="40377291"/>
    <w:rsid w:val="40385090"/>
    <w:rsid w:val="403D4075"/>
    <w:rsid w:val="40562B90"/>
    <w:rsid w:val="40581609"/>
    <w:rsid w:val="405F1454"/>
    <w:rsid w:val="4062552B"/>
    <w:rsid w:val="40762F0A"/>
    <w:rsid w:val="40765E8A"/>
    <w:rsid w:val="407E10BA"/>
    <w:rsid w:val="407E641B"/>
    <w:rsid w:val="40825976"/>
    <w:rsid w:val="4084632A"/>
    <w:rsid w:val="40977EEA"/>
    <w:rsid w:val="40BE000B"/>
    <w:rsid w:val="40D00C0D"/>
    <w:rsid w:val="40D14D78"/>
    <w:rsid w:val="40EC441D"/>
    <w:rsid w:val="40F044C9"/>
    <w:rsid w:val="40F20E51"/>
    <w:rsid w:val="40FA7AE5"/>
    <w:rsid w:val="40FE5D37"/>
    <w:rsid w:val="411541DA"/>
    <w:rsid w:val="41180D6F"/>
    <w:rsid w:val="41265775"/>
    <w:rsid w:val="41371FE0"/>
    <w:rsid w:val="415C087D"/>
    <w:rsid w:val="41604FAE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A71CD"/>
    <w:rsid w:val="41EE0902"/>
    <w:rsid w:val="42080287"/>
    <w:rsid w:val="420D6792"/>
    <w:rsid w:val="42126EA7"/>
    <w:rsid w:val="4220489C"/>
    <w:rsid w:val="424832DC"/>
    <w:rsid w:val="425C5BCE"/>
    <w:rsid w:val="42605FC7"/>
    <w:rsid w:val="427449F7"/>
    <w:rsid w:val="427E1411"/>
    <w:rsid w:val="427E1440"/>
    <w:rsid w:val="42904B06"/>
    <w:rsid w:val="429D0824"/>
    <w:rsid w:val="42A97915"/>
    <w:rsid w:val="42AF6E21"/>
    <w:rsid w:val="42B61D72"/>
    <w:rsid w:val="42B95478"/>
    <w:rsid w:val="42BA26E7"/>
    <w:rsid w:val="42BC2E3B"/>
    <w:rsid w:val="42D21379"/>
    <w:rsid w:val="42EC5ED5"/>
    <w:rsid w:val="42F35F7E"/>
    <w:rsid w:val="4304205B"/>
    <w:rsid w:val="430E6D0F"/>
    <w:rsid w:val="430F7CB1"/>
    <w:rsid w:val="43386CA4"/>
    <w:rsid w:val="433D333A"/>
    <w:rsid w:val="43422211"/>
    <w:rsid w:val="4343018D"/>
    <w:rsid w:val="4343299A"/>
    <w:rsid w:val="4348461B"/>
    <w:rsid w:val="434C4375"/>
    <w:rsid w:val="434E3D91"/>
    <w:rsid w:val="435254D0"/>
    <w:rsid w:val="435E3F9C"/>
    <w:rsid w:val="43605D67"/>
    <w:rsid w:val="436647E4"/>
    <w:rsid w:val="43675D4E"/>
    <w:rsid w:val="436E31A2"/>
    <w:rsid w:val="436E6A85"/>
    <w:rsid w:val="437A63B2"/>
    <w:rsid w:val="437B77B4"/>
    <w:rsid w:val="437C1845"/>
    <w:rsid w:val="437C39D2"/>
    <w:rsid w:val="438863EE"/>
    <w:rsid w:val="43925A43"/>
    <w:rsid w:val="43A6091D"/>
    <w:rsid w:val="43A94C99"/>
    <w:rsid w:val="43AD047C"/>
    <w:rsid w:val="43B93CA1"/>
    <w:rsid w:val="43C12922"/>
    <w:rsid w:val="43C96CC1"/>
    <w:rsid w:val="43D95A5E"/>
    <w:rsid w:val="43DB681A"/>
    <w:rsid w:val="43E66B2A"/>
    <w:rsid w:val="43EF7DF5"/>
    <w:rsid w:val="43F4183C"/>
    <w:rsid w:val="43F75428"/>
    <w:rsid w:val="44062A2A"/>
    <w:rsid w:val="44064D7F"/>
    <w:rsid w:val="440E4906"/>
    <w:rsid w:val="440F21F4"/>
    <w:rsid w:val="440F23A5"/>
    <w:rsid w:val="441B2788"/>
    <w:rsid w:val="44312509"/>
    <w:rsid w:val="44353309"/>
    <w:rsid w:val="443D5C83"/>
    <w:rsid w:val="443E6111"/>
    <w:rsid w:val="444112B7"/>
    <w:rsid w:val="4442520B"/>
    <w:rsid w:val="4445734B"/>
    <w:rsid w:val="44486DE6"/>
    <w:rsid w:val="446270C6"/>
    <w:rsid w:val="447031B7"/>
    <w:rsid w:val="44704880"/>
    <w:rsid w:val="447670D1"/>
    <w:rsid w:val="4477366C"/>
    <w:rsid w:val="447B38D0"/>
    <w:rsid w:val="448F0A9C"/>
    <w:rsid w:val="44970B52"/>
    <w:rsid w:val="44995A2D"/>
    <w:rsid w:val="449A2D31"/>
    <w:rsid w:val="449A2DDB"/>
    <w:rsid w:val="449A7C89"/>
    <w:rsid w:val="44A311E8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0427D"/>
    <w:rsid w:val="44E63F80"/>
    <w:rsid w:val="44F26631"/>
    <w:rsid w:val="44F63F44"/>
    <w:rsid w:val="44FF12D4"/>
    <w:rsid w:val="4505615F"/>
    <w:rsid w:val="45195E19"/>
    <w:rsid w:val="451A08D6"/>
    <w:rsid w:val="451A4504"/>
    <w:rsid w:val="45216D6E"/>
    <w:rsid w:val="452D74DE"/>
    <w:rsid w:val="45444294"/>
    <w:rsid w:val="454E526B"/>
    <w:rsid w:val="45592647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BE51CE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2205A8"/>
    <w:rsid w:val="46495138"/>
    <w:rsid w:val="464C33C7"/>
    <w:rsid w:val="46753484"/>
    <w:rsid w:val="468D25A7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D77375"/>
    <w:rsid w:val="46D90F11"/>
    <w:rsid w:val="46E2491C"/>
    <w:rsid w:val="46EB4D4C"/>
    <w:rsid w:val="46F0402F"/>
    <w:rsid w:val="47005024"/>
    <w:rsid w:val="470401D6"/>
    <w:rsid w:val="470A674E"/>
    <w:rsid w:val="470E2853"/>
    <w:rsid w:val="47104182"/>
    <w:rsid w:val="47155653"/>
    <w:rsid w:val="472D0AA7"/>
    <w:rsid w:val="474C0355"/>
    <w:rsid w:val="47522E07"/>
    <w:rsid w:val="47690EAD"/>
    <w:rsid w:val="476A091A"/>
    <w:rsid w:val="476C1FD1"/>
    <w:rsid w:val="477A102B"/>
    <w:rsid w:val="477C3C9F"/>
    <w:rsid w:val="47835FD1"/>
    <w:rsid w:val="478C550C"/>
    <w:rsid w:val="47921058"/>
    <w:rsid w:val="47980643"/>
    <w:rsid w:val="479F756D"/>
    <w:rsid w:val="47AC64AE"/>
    <w:rsid w:val="47AE2329"/>
    <w:rsid w:val="47BA20DB"/>
    <w:rsid w:val="47CD4EBC"/>
    <w:rsid w:val="47D34EEE"/>
    <w:rsid w:val="47D70350"/>
    <w:rsid w:val="47D96A40"/>
    <w:rsid w:val="47DC4C30"/>
    <w:rsid w:val="47E065A6"/>
    <w:rsid w:val="47E24A1D"/>
    <w:rsid w:val="47E459EC"/>
    <w:rsid w:val="47E528C3"/>
    <w:rsid w:val="47F851FE"/>
    <w:rsid w:val="48002186"/>
    <w:rsid w:val="48220C0B"/>
    <w:rsid w:val="48330D0B"/>
    <w:rsid w:val="483E6319"/>
    <w:rsid w:val="4844010E"/>
    <w:rsid w:val="484D70C0"/>
    <w:rsid w:val="485444BA"/>
    <w:rsid w:val="48586A3A"/>
    <w:rsid w:val="48620B89"/>
    <w:rsid w:val="486322E6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76AE"/>
    <w:rsid w:val="49156D12"/>
    <w:rsid w:val="492514D9"/>
    <w:rsid w:val="492A3205"/>
    <w:rsid w:val="49341C2B"/>
    <w:rsid w:val="49346CF1"/>
    <w:rsid w:val="494A309B"/>
    <w:rsid w:val="494B3250"/>
    <w:rsid w:val="494C57CF"/>
    <w:rsid w:val="494D16C1"/>
    <w:rsid w:val="4959460B"/>
    <w:rsid w:val="49851EDB"/>
    <w:rsid w:val="49CA7E3C"/>
    <w:rsid w:val="49D9493E"/>
    <w:rsid w:val="49E05DCB"/>
    <w:rsid w:val="49EB622C"/>
    <w:rsid w:val="49F50CB4"/>
    <w:rsid w:val="4A0028F7"/>
    <w:rsid w:val="4A060453"/>
    <w:rsid w:val="4A087489"/>
    <w:rsid w:val="4A2B1F5C"/>
    <w:rsid w:val="4A824219"/>
    <w:rsid w:val="4A8C305D"/>
    <w:rsid w:val="4A8E7E91"/>
    <w:rsid w:val="4A9713FB"/>
    <w:rsid w:val="4A9947DA"/>
    <w:rsid w:val="4A997593"/>
    <w:rsid w:val="4AA614AA"/>
    <w:rsid w:val="4AA828AB"/>
    <w:rsid w:val="4AB220B5"/>
    <w:rsid w:val="4ABE07D2"/>
    <w:rsid w:val="4AC01BED"/>
    <w:rsid w:val="4AC07531"/>
    <w:rsid w:val="4AC1656E"/>
    <w:rsid w:val="4AC24A28"/>
    <w:rsid w:val="4AC33E59"/>
    <w:rsid w:val="4ACA6106"/>
    <w:rsid w:val="4ACB1D0F"/>
    <w:rsid w:val="4ACD1533"/>
    <w:rsid w:val="4AEE194A"/>
    <w:rsid w:val="4AF55326"/>
    <w:rsid w:val="4AF71C76"/>
    <w:rsid w:val="4B12691B"/>
    <w:rsid w:val="4B2225E4"/>
    <w:rsid w:val="4B2249D6"/>
    <w:rsid w:val="4B330DED"/>
    <w:rsid w:val="4B342BB9"/>
    <w:rsid w:val="4B354361"/>
    <w:rsid w:val="4B3C784A"/>
    <w:rsid w:val="4B447281"/>
    <w:rsid w:val="4B4E6196"/>
    <w:rsid w:val="4B4F4B50"/>
    <w:rsid w:val="4B5065E5"/>
    <w:rsid w:val="4B592E90"/>
    <w:rsid w:val="4B60501C"/>
    <w:rsid w:val="4B6E3FEB"/>
    <w:rsid w:val="4B7A6EA5"/>
    <w:rsid w:val="4B8A5383"/>
    <w:rsid w:val="4B8C1A55"/>
    <w:rsid w:val="4BA27782"/>
    <w:rsid w:val="4BA85532"/>
    <w:rsid w:val="4BAB6EB1"/>
    <w:rsid w:val="4BB340E6"/>
    <w:rsid w:val="4BC004F6"/>
    <w:rsid w:val="4BC2046B"/>
    <w:rsid w:val="4BC70568"/>
    <w:rsid w:val="4BCD4308"/>
    <w:rsid w:val="4BD732D2"/>
    <w:rsid w:val="4BEF7306"/>
    <w:rsid w:val="4BF5474B"/>
    <w:rsid w:val="4BF859A8"/>
    <w:rsid w:val="4BFD4DB2"/>
    <w:rsid w:val="4C05637C"/>
    <w:rsid w:val="4C0C70D3"/>
    <w:rsid w:val="4C0E7F9A"/>
    <w:rsid w:val="4C153B7D"/>
    <w:rsid w:val="4C252352"/>
    <w:rsid w:val="4C2B4F79"/>
    <w:rsid w:val="4C385A40"/>
    <w:rsid w:val="4C4B3831"/>
    <w:rsid w:val="4C5A5543"/>
    <w:rsid w:val="4C5C7AC9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C53803"/>
    <w:rsid w:val="4CCA626A"/>
    <w:rsid w:val="4CD00124"/>
    <w:rsid w:val="4CDF4F5F"/>
    <w:rsid w:val="4CE679D2"/>
    <w:rsid w:val="4CF73AC7"/>
    <w:rsid w:val="4CF850CA"/>
    <w:rsid w:val="4CFB4906"/>
    <w:rsid w:val="4D04433E"/>
    <w:rsid w:val="4D05698F"/>
    <w:rsid w:val="4D066A1E"/>
    <w:rsid w:val="4D111DEA"/>
    <w:rsid w:val="4D12653F"/>
    <w:rsid w:val="4D15653E"/>
    <w:rsid w:val="4D1A17B3"/>
    <w:rsid w:val="4D1B2A35"/>
    <w:rsid w:val="4D1C31C6"/>
    <w:rsid w:val="4D240701"/>
    <w:rsid w:val="4D3044C7"/>
    <w:rsid w:val="4D361251"/>
    <w:rsid w:val="4D44774F"/>
    <w:rsid w:val="4D4B58A5"/>
    <w:rsid w:val="4D4C4574"/>
    <w:rsid w:val="4D627203"/>
    <w:rsid w:val="4D66006E"/>
    <w:rsid w:val="4D6C3B9E"/>
    <w:rsid w:val="4D8674BE"/>
    <w:rsid w:val="4D8B066E"/>
    <w:rsid w:val="4D920C3D"/>
    <w:rsid w:val="4D976BD2"/>
    <w:rsid w:val="4D9C209F"/>
    <w:rsid w:val="4DA06A38"/>
    <w:rsid w:val="4DB40BF7"/>
    <w:rsid w:val="4DBC21E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5A49F3"/>
    <w:rsid w:val="4E7A2E8A"/>
    <w:rsid w:val="4E7C181D"/>
    <w:rsid w:val="4E81432F"/>
    <w:rsid w:val="4E9373C0"/>
    <w:rsid w:val="4EA6083B"/>
    <w:rsid w:val="4EAB62F0"/>
    <w:rsid w:val="4EBB6FFE"/>
    <w:rsid w:val="4EC56069"/>
    <w:rsid w:val="4ECD751A"/>
    <w:rsid w:val="4ED75DAE"/>
    <w:rsid w:val="4EE105D0"/>
    <w:rsid w:val="4EE7009D"/>
    <w:rsid w:val="4EFA5D6D"/>
    <w:rsid w:val="4EFB4E8F"/>
    <w:rsid w:val="4F064596"/>
    <w:rsid w:val="4F08177C"/>
    <w:rsid w:val="4F092C81"/>
    <w:rsid w:val="4F0D4F13"/>
    <w:rsid w:val="4F1C5302"/>
    <w:rsid w:val="4F1D115E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266EA"/>
    <w:rsid w:val="4F967CF0"/>
    <w:rsid w:val="4F9E40E5"/>
    <w:rsid w:val="4FA45FB4"/>
    <w:rsid w:val="4FB140AE"/>
    <w:rsid w:val="4FB76356"/>
    <w:rsid w:val="4FBE4AFD"/>
    <w:rsid w:val="4FC43CE1"/>
    <w:rsid w:val="4FD01430"/>
    <w:rsid w:val="4FD90180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490457"/>
    <w:rsid w:val="50684E81"/>
    <w:rsid w:val="5075104B"/>
    <w:rsid w:val="5075687D"/>
    <w:rsid w:val="507852DF"/>
    <w:rsid w:val="50866AC3"/>
    <w:rsid w:val="508A07B8"/>
    <w:rsid w:val="508C2A67"/>
    <w:rsid w:val="50900126"/>
    <w:rsid w:val="509C7C29"/>
    <w:rsid w:val="50A2127B"/>
    <w:rsid w:val="50A32FC8"/>
    <w:rsid w:val="50B614C2"/>
    <w:rsid w:val="50C74476"/>
    <w:rsid w:val="50E2518C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2C5700"/>
    <w:rsid w:val="51302EC3"/>
    <w:rsid w:val="5133760D"/>
    <w:rsid w:val="514329D6"/>
    <w:rsid w:val="51511E2B"/>
    <w:rsid w:val="51663591"/>
    <w:rsid w:val="517B0723"/>
    <w:rsid w:val="518D3959"/>
    <w:rsid w:val="51904C47"/>
    <w:rsid w:val="519F0748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64AA"/>
    <w:rsid w:val="52502DC9"/>
    <w:rsid w:val="525115A8"/>
    <w:rsid w:val="525176DF"/>
    <w:rsid w:val="52547186"/>
    <w:rsid w:val="52631321"/>
    <w:rsid w:val="526B2DEC"/>
    <w:rsid w:val="526B5EEE"/>
    <w:rsid w:val="527D67A7"/>
    <w:rsid w:val="529415EA"/>
    <w:rsid w:val="52AA140F"/>
    <w:rsid w:val="52AF3F38"/>
    <w:rsid w:val="52B33948"/>
    <w:rsid w:val="52C93BBE"/>
    <w:rsid w:val="52D05D9C"/>
    <w:rsid w:val="52DF5A77"/>
    <w:rsid w:val="52E113F5"/>
    <w:rsid w:val="52E2402D"/>
    <w:rsid w:val="530715FB"/>
    <w:rsid w:val="530C7D7F"/>
    <w:rsid w:val="530D0E70"/>
    <w:rsid w:val="53297E57"/>
    <w:rsid w:val="53324C7A"/>
    <w:rsid w:val="533F38E7"/>
    <w:rsid w:val="53404196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64776"/>
    <w:rsid w:val="53A74C89"/>
    <w:rsid w:val="53AC48CA"/>
    <w:rsid w:val="53AE5A8A"/>
    <w:rsid w:val="53C12731"/>
    <w:rsid w:val="53CF5237"/>
    <w:rsid w:val="53D20731"/>
    <w:rsid w:val="53D224D9"/>
    <w:rsid w:val="53D97E77"/>
    <w:rsid w:val="53DA6ABC"/>
    <w:rsid w:val="53E27E4A"/>
    <w:rsid w:val="53E355BF"/>
    <w:rsid w:val="53E8282F"/>
    <w:rsid w:val="53E857A6"/>
    <w:rsid w:val="53F83D31"/>
    <w:rsid w:val="53F86054"/>
    <w:rsid w:val="54061774"/>
    <w:rsid w:val="54084368"/>
    <w:rsid w:val="540E3ABB"/>
    <w:rsid w:val="5414200F"/>
    <w:rsid w:val="5415213B"/>
    <w:rsid w:val="54174D5D"/>
    <w:rsid w:val="541B216B"/>
    <w:rsid w:val="543A3A51"/>
    <w:rsid w:val="543B76CE"/>
    <w:rsid w:val="54441F03"/>
    <w:rsid w:val="544A61BE"/>
    <w:rsid w:val="5458604D"/>
    <w:rsid w:val="545B4B40"/>
    <w:rsid w:val="5465700C"/>
    <w:rsid w:val="54684A59"/>
    <w:rsid w:val="546F42E0"/>
    <w:rsid w:val="54735790"/>
    <w:rsid w:val="54805AA2"/>
    <w:rsid w:val="54811B92"/>
    <w:rsid w:val="54820F7A"/>
    <w:rsid w:val="54881F94"/>
    <w:rsid w:val="548A1AB1"/>
    <w:rsid w:val="54921106"/>
    <w:rsid w:val="54954EAC"/>
    <w:rsid w:val="549D7DE1"/>
    <w:rsid w:val="549E4A99"/>
    <w:rsid w:val="54A00AB1"/>
    <w:rsid w:val="54AD774F"/>
    <w:rsid w:val="54B03A20"/>
    <w:rsid w:val="54B60902"/>
    <w:rsid w:val="54B93795"/>
    <w:rsid w:val="54E44BF0"/>
    <w:rsid w:val="54E462F6"/>
    <w:rsid w:val="54F54AD8"/>
    <w:rsid w:val="550875D8"/>
    <w:rsid w:val="550C5474"/>
    <w:rsid w:val="550E0556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37700"/>
    <w:rsid w:val="5575623A"/>
    <w:rsid w:val="55792873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62F64"/>
    <w:rsid w:val="55B95799"/>
    <w:rsid w:val="55BD4F0C"/>
    <w:rsid w:val="55D01BC1"/>
    <w:rsid w:val="55E32F66"/>
    <w:rsid w:val="55E75860"/>
    <w:rsid w:val="55FBDB48"/>
    <w:rsid w:val="55FF3C96"/>
    <w:rsid w:val="560010ED"/>
    <w:rsid w:val="560A1E7A"/>
    <w:rsid w:val="560C20A5"/>
    <w:rsid w:val="561C7863"/>
    <w:rsid w:val="562C2FA6"/>
    <w:rsid w:val="562E13B9"/>
    <w:rsid w:val="56312196"/>
    <w:rsid w:val="563535D4"/>
    <w:rsid w:val="56353E08"/>
    <w:rsid w:val="56362C3B"/>
    <w:rsid w:val="563C154B"/>
    <w:rsid w:val="564B4F61"/>
    <w:rsid w:val="564C6A6F"/>
    <w:rsid w:val="56506BA6"/>
    <w:rsid w:val="565D32EE"/>
    <w:rsid w:val="56682B4C"/>
    <w:rsid w:val="5668633D"/>
    <w:rsid w:val="566D65BC"/>
    <w:rsid w:val="56707213"/>
    <w:rsid w:val="56757DE9"/>
    <w:rsid w:val="5677517B"/>
    <w:rsid w:val="56882964"/>
    <w:rsid w:val="568E5C2E"/>
    <w:rsid w:val="569269BE"/>
    <w:rsid w:val="56946918"/>
    <w:rsid w:val="569D0DCD"/>
    <w:rsid w:val="569F741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0A4357"/>
    <w:rsid w:val="57110C6D"/>
    <w:rsid w:val="5713500C"/>
    <w:rsid w:val="5720074D"/>
    <w:rsid w:val="57243036"/>
    <w:rsid w:val="57257327"/>
    <w:rsid w:val="573336BE"/>
    <w:rsid w:val="573B06C9"/>
    <w:rsid w:val="574532CA"/>
    <w:rsid w:val="575D3CB3"/>
    <w:rsid w:val="57775CEA"/>
    <w:rsid w:val="577B6220"/>
    <w:rsid w:val="577C648F"/>
    <w:rsid w:val="578042DA"/>
    <w:rsid w:val="5787349E"/>
    <w:rsid w:val="579E3D52"/>
    <w:rsid w:val="57B27112"/>
    <w:rsid w:val="57B63A8B"/>
    <w:rsid w:val="57B738E0"/>
    <w:rsid w:val="57B90017"/>
    <w:rsid w:val="57BC7E22"/>
    <w:rsid w:val="57C80109"/>
    <w:rsid w:val="57CA6B58"/>
    <w:rsid w:val="57CD0996"/>
    <w:rsid w:val="57D3757D"/>
    <w:rsid w:val="57DD4CF2"/>
    <w:rsid w:val="57E302C9"/>
    <w:rsid w:val="57EA39E4"/>
    <w:rsid w:val="57FA4253"/>
    <w:rsid w:val="57FF37AB"/>
    <w:rsid w:val="581225A2"/>
    <w:rsid w:val="581663A7"/>
    <w:rsid w:val="581A6136"/>
    <w:rsid w:val="581B7339"/>
    <w:rsid w:val="583339EA"/>
    <w:rsid w:val="585144AA"/>
    <w:rsid w:val="58567D64"/>
    <w:rsid w:val="585C110C"/>
    <w:rsid w:val="586057AB"/>
    <w:rsid w:val="58651B4D"/>
    <w:rsid w:val="586578BF"/>
    <w:rsid w:val="58730A21"/>
    <w:rsid w:val="587A70C6"/>
    <w:rsid w:val="588D7EB4"/>
    <w:rsid w:val="589947D3"/>
    <w:rsid w:val="589A4F5C"/>
    <w:rsid w:val="58A75020"/>
    <w:rsid w:val="58B32D3F"/>
    <w:rsid w:val="58C0349D"/>
    <w:rsid w:val="58C94687"/>
    <w:rsid w:val="58D52827"/>
    <w:rsid w:val="58DE49F6"/>
    <w:rsid w:val="58F7247A"/>
    <w:rsid w:val="590413BD"/>
    <w:rsid w:val="5913289D"/>
    <w:rsid w:val="5919795C"/>
    <w:rsid w:val="59232537"/>
    <w:rsid w:val="592F245D"/>
    <w:rsid w:val="593D3B58"/>
    <w:rsid w:val="59440619"/>
    <w:rsid w:val="5945315F"/>
    <w:rsid w:val="594720D1"/>
    <w:rsid w:val="59570C35"/>
    <w:rsid w:val="596326A9"/>
    <w:rsid w:val="596560C8"/>
    <w:rsid w:val="59700257"/>
    <w:rsid w:val="59724E0E"/>
    <w:rsid w:val="597252E0"/>
    <w:rsid w:val="597D3815"/>
    <w:rsid w:val="59830A4E"/>
    <w:rsid w:val="598B4B87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047541"/>
    <w:rsid w:val="5A1560F8"/>
    <w:rsid w:val="5A17068E"/>
    <w:rsid w:val="5A1D02C8"/>
    <w:rsid w:val="5A1F739C"/>
    <w:rsid w:val="5A20482B"/>
    <w:rsid w:val="5A297734"/>
    <w:rsid w:val="5A4433AC"/>
    <w:rsid w:val="5A456C26"/>
    <w:rsid w:val="5A4F57C5"/>
    <w:rsid w:val="5A4F5EE1"/>
    <w:rsid w:val="5A5665CD"/>
    <w:rsid w:val="5A576395"/>
    <w:rsid w:val="5A593148"/>
    <w:rsid w:val="5A5E0CAD"/>
    <w:rsid w:val="5A604B4C"/>
    <w:rsid w:val="5A620DD5"/>
    <w:rsid w:val="5A6E519E"/>
    <w:rsid w:val="5A6E5F01"/>
    <w:rsid w:val="5A7F23D0"/>
    <w:rsid w:val="5A8804DC"/>
    <w:rsid w:val="5A89045B"/>
    <w:rsid w:val="5A8A094A"/>
    <w:rsid w:val="5A8A61C8"/>
    <w:rsid w:val="5A8F2C1C"/>
    <w:rsid w:val="5A947631"/>
    <w:rsid w:val="5A9F1F6A"/>
    <w:rsid w:val="5AAE1E87"/>
    <w:rsid w:val="5AB3317B"/>
    <w:rsid w:val="5ACF442D"/>
    <w:rsid w:val="5AD87740"/>
    <w:rsid w:val="5ADB4B04"/>
    <w:rsid w:val="5AE67D49"/>
    <w:rsid w:val="5AEC2ADA"/>
    <w:rsid w:val="5AED24DD"/>
    <w:rsid w:val="5AED482E"/>
    <w:rsid w:val="5AF2382A"/>
    <w:rsid w:val="5AF43314"/>
    <w:rsid w:val="5B0604A3"/>
    <w:rsid w:val="5B1223E2"/>
    <w:rsid w:val="5B162801"/>
    <w:rsid w:val="5B247BFB"/>
    <w:rsid w:val="5B344D84"/>
    <w:rsid w:val="5B5059E8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BE4F50"/>
    <w:rsid w:val="5BD1505A"/>
    <w:rsid w:val="5BD92BA9"/>
    <w:rsid w:val="5BDD29C3"/>
    <w:rsid w:val="5BDE6F14"/>
    <w:rsid w:val="5C046156"/>
    <w:rsid w:val="5C0A3BB7"/>
    <w:rsid w:val="5C0A68F9"/>
    <w:rsid w:val="5C1202F0"/>
    <w:rsid w:val="5C15137F"/>
    <w:rsid w:val="5C17089D"/>
    <w:rsid w:val="5C18679F"/>
    <w:rsid w:val="5C1E0DBA"/>
    <w:rsid w:val="5C3768BF"/>
    <w:rsid w:val="5C4A6360"/>
    <w:rsid w:val="5C716BC5"/>
    <w:rsid w:val="5C752E46"/>
    <w:rsid w:val="5C784ED3"/>
    <w:rsid w:val="5C7D4D78"/>
    <w:rsid w:val="5C8046F6"/>
    <w:rsid w:val="5C812DA3"/>
    <w:rsid w:val="5C81304B"/>
    <w:rsid w:val="5C851DC2"/>
    <w:rsid w:val="5C916F38"/>
    <w:rsid w:val="5C9B05B1"/>
    <w:rsid w:val="5CA3373E"/>
    <w:rsid w:val="5CA55250"/>
    <w:rsid w:val="5CB7487F"/>
    <w:rsid w:val="5CBA2E24"/>
    <w:rsid w:val="5CBE4851"/>
    <w:rsid w:val="5CBF7942"/>
    <w:rsid w:val="5CD35634"/>
    <w:rsid w:val="5CD80A4C"/>
    <w:rsid w:val="5CE15547"/>
    <w:rsid w:val="5CF22A1A"/>
    <w:rsid w:val="5CF3304A"/>
    <w:rsid w:val="5CF55D68"/>
    <w:rsid w:val="5CF97C9E"/>
    <w:rsid w:val="5D0B42DC"/>
    <w:rsid w:val="5D0C1414"/>
    <w:rsid w:val="5D147912"/>
    <w:rsid w:val="5D1A687B"/>
    <w:rsid w:val="5D264FF5"/>
    <w:rsid w:val="5D27538E"/>
    <w:rsid w:val="5D2A7616"/>
    <w:rsid w:val="5D5144E6"/>
    <w:rsid w:val="5D530BAE"/>
    <w:rsid w:val="5D60610D"/>
    <w:rsid w:val="5D677934"/>
    <w:rsid w:val="5D701A55"/>
    <w:rsid w:val="5D747EB4"/>
    <w:rsid w:val="5D760E05"/>
    <w:rsid w:val="5D7A32EB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C7DD0"/>
    <w:rsid w:val="5DC567E9"/>
    <w:rsid w:val="5DD07EF8"/>
    <w:rsid w:val="5DD15393"/>
    <w:rsid w:val="5DD67626"/>
    <w:rsid w:val="5DDA2597"/>
    <w:rsid w:val="5DDB6BAB"/>
    <w:rsid w:val="5DE93770"/>
    <w:rsid w:val="5DEF5FD6"/>
    <w:rsid w:val="5DFB1089"/>
    <w:rsid w:val="5E077A77"/>
    <w:rsid w:val="5E087EA2"/>
    <w:rsid w:val="5E0D67C6"/>
    <w:rsid w:val="5E2775CA"/>
    <w:rsid w:val="5E294315"/>
    <w:rsid w:val="5E295856"/>
    <w:rsid w:val="5E2A2D6E"/>
    <w:rsid w:val="5E330F25"/>
    <w:rsid w:val="5E347435"/>
    <w:rsid w:val="5E35132D"/>
    <w:rsid w:val="5E3B68DA"/>
    <w:rsid w:val="5E49038C"/>
    <w:rsid w:val="5E4A1687"/>
    <w:rsid w:val="5E4E124A"/>
    <w:rsid w:val="5E6E2F82"/>
    <w:rsid w:val="5E82512E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EE61745"/>
    <w:rsid w:val="5F054905"/>
    <w:rsid w:val="5F127126"/>
    <w:rsid w:val="5F133281"/>
    <w:rsid w:val="5F163472"/>
    <w:rsid w:val="5F196D78"/>
    <w:rsid w:val="5F221B23"/>
    <w:rsid w:val="5F23175F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C0EF8"/>
    <w:rsid w:val="5F8D0E05"/>
    <w:rsid w:val="5F9537D5"/>
    <w:rsid w:val="5F991BCB"/>
    <w:rsid w:val="5FB52496"/>
    <w:rsid w:val="5FB64A68"/>
    <w:rsid w:val="5FBF59B7"/>
    <w:rsid w:val="5FD21CA0"/>
    <w:rsid w:val="5FD81733"/>
    <w:rsid w:val="5FDE2E8C"/>
    <w:rsid w:val="5FE32071"/>
    <w:rsid w:val="5FEC1D02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87038"/>
    <w:rsid w:val="607E396C"/>
    <w:rsid w:val="60802E35"/>
    <w:rsid w:val="60811FD8"/>
    <w:rsid w:val="60AB25C5"/>
    <w:rsid w:val="60AF1513"/>
    <w:rsid w:val="60B011C0"/>
    <w:rsid w:val="60B17A56"/>
    <w:rsid w:val="60BB7B96"/>
    <w:rsid w:val="60BD0A74"/>
    <w:rsid w:val="60C85076"/>
    <w:rsid w:val="60CC596E"/>
    <w:rsid w:val="60D41389"/>
    <w:rsid w:val="60DC22DF"/>
    <w:rsid w:val="60E20005"/>
    <w:rsid w:val="60E440E4"/>
    <w:rsid w:val="60FA79C1"/>
    <w:rsid w:val="61025B94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8B2421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72598"/>
    <w:rsid w:val="61DD6C29"/>
    <w:rsid w:val="61DD7269"/>
    <w:rsid w:val="61DE687D"/>
    <w:rsid w:val="61E14F18"/>
    <w:rsid w:val="61F26A42"/>
    <w:rsid w:val="620045D0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9B547B"/>
    <w:rsid w:val="62A706ED"/>
    <w:rsid w:val="62A86E8C"/>
    <w:rsid w:val="62B014DC"/>
    <w:rsid w:val="62BE18F2"/>
    <w:rsid w:val="62C63BB3"/>
    <w:rsid w:val="62D408AA"/>
    <w:rsid w:val="62D9620C"/>
    <w:rsid w:val="62E42049"/>
    <w:rsid w:val="62F2073B"/>
    <w:rsid w:val="63083357"/>
    <w:rsid w:val="63095298"/>
    <w:rsid w:val="630A5F7C"/>
    <w:rsid w:val="63133A2F"/>
    <w:rsid w:val="63171A8A"/>
    <w:rsid w:val="63191FA4"/>
    <w:rsid w:val="631955AD"/>
    <w:rsid w:val="631D0B61"/>
    <w:rsid w:val="633C78BB"/>
    <w:rsid w:val="63425F59"/>
    <w:rsid w:val="634A6BF1"/>
    <w:rsid w:val="63505013"/>
    <w:rsid w:val="6356637E"/>
    <w:rsid w:val="63567264"/>
    <w:rsid w:val="635B50A6"/>
    <w:rsid w:val="635F3E6C"/>
    <w:rsid w:val="638D42C0"/>
    <w:rsid w:val="63A855E8"/>
    <w:rsid w:val="63B0726B"/>
    <w:rsid w:val="63BF3A0C"/>
    <w:rsid w:val="63C905D2"/>
    <w:rsid w:val="63D0326A"/>
    <w:rsid w:val="63D37E25"/>
    <w:rsid w:val="63DA7C45"/>
    <w:rsid w:val="63DB22FB"/>
    <w:rsid w:val="63DB2F95"/>
    <w:rsid w:val="63F40A84"/>
    <w:rsid w:val="63F97AA8"/>
    <w:rsid w:val="63FA3F48"/>
    <w:rsid w:val="640004A6"/>
    <w:rsid w:val="64074D44"/>
    <w:rsid w:val="64075F2E"/>
    <w:rsid w:val="641369A5"/>
    <w:rsid w:val="64174B6B"/>
    <w:rsid w:val="641B5F92"/>
    <w:rsid w:val="641E45F7"/>
    <w:rsid w:val="6422650A"/>
    <w:rsid w:val="64235DFF"/>
    <w:rsid w:val="642819F6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9FFC17"/>
    <w:rsid w:val="64A57EA9"/>
    <w:rsid w:val="64BB5402"/>
    <w:rsid w:val="64BD0DE2"/>
    <w:rsid w:val="64D662E6"/>
    <w:rsid w:val="64E333A8"/>
    <w:rsid w:val="64EA733A"/>
    <w:rsid w:val="64EB1253"/>
    <w:rsid w:val="650548C8"/>
    <w:rsid w:val="650906B2"/>
    <w:rsid w:val="650E29E3"/>
    <w:rsid w:val="651725E2"/>
    <w:rsid w:val="652A523F"/>
    <w:rsid w:val="65381046"/>
    <w:rsid w:val="65405E19"/>
    <w:rsid w:val="654D2F79"/>
    <w:rsid w:val="65617866"/>
    <w:rsid w:val="656941D2"/>
    <w:rsid w:val="6570194C"/>
    <w:rsid w:val="65741253"/>
    <w:rsid w:val="657933B4"/>
    <w:rsid w:val="658629E2"/>
    <w:rsid w:val="65886C35"/>
    <w:rsid w:val="65892994"/>
    <w:rsid w:val="65A321ED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A82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A52B7"/>
    <w:rsid w:val="667E00F5"/>
    <w:rsid w:val="668652F7"/>
    <w:rsid w:val="668C6CE7"/>
    <w:rsid w:val="66900CCE"/>
    <w:rsid w:val="66910EB8"/>
    <w:rsid w:val="6694063C"/>
    <w:rsid w:val="66972D8E"/>
    <w:rsid w:val="669B2422"/>
    <w:rsid w:val="66A5721B"/>
    <w:rsid w:val="66B37847"/>
    <w:rsid w:val="66B80708"/>
    <w:rsid w:val="66BA61EB"/>
    <w:rsid w:val="66BD4C82"/>
    <w:rsid w:val="66C224BB"/>
    <w:rsid w:val="66D953C4"/>
    <w:rsid w:val="66D9632C"/>
    <w:rsid w:val="66E45649"/>
    <w:rsid w:val="66E63A20"/>
    <w:rsid w:val="66F76FD0"/>
    <w:rsid w:val="66F9395F"/>
    <w:rsid w:val="66FD5708"/>
    <w:rsid w:val="66FF2DB2"/>
    <w:rsid w:val="67030DFA"/>
    <w:rsid w:val="67044237"/>
    <w:rsid w:val="67074134"/>
    <w:rsid w:val="670D1283"/>
    <w:rsid w:val="671615FF"/>
    <w:rsid w:val="67175BC5"/>
    <w:rsid w:val="671B3C27"/>
    <w:rsid w:val="67204BFD"/>
    <w:rsid w:val="672217FF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25DA7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12209F"/>
    <w:rsid w:val="68363F74"/>
    <w:rsid w:val="683659CB"/>
    <w:rsid w:val="684B46A6"/>
    <w:rsid w:val="684D303D"/>
    <w:rsid w:val="685A4162"/>
    <w:rsid w:val="68702350"/>
    <w:rsid w:val="68767581"/>
    <w:rsid w:val="68810A52"/>
    <w:rsid w:val="6884668C"/>
    <w:rsid w:val="6888364F"/>
    <w:rsid w:val="689641FE"/>
    <w:rsid w:val="68A3215E"/>
    <w:rsid w:val="68B07FC2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106CEB"/>
    <w:rsid w:val="692714E6"/>
    <w:rsid w:val="692E19FD"/>
    <w:rsid w:val="6949404D"/>
    <w:rsid w:val="695126A9"/>
    <w:rsid w:val="695A62A9"/>
    <w:rsid w:val="696E4DB1"/>
    <w:rsid w:val="69831A73"/>
    <w:rsid w:val="69833B52"/>
    <w:rsid w:val="69840A36"/>
    <w:rsid w:val="69862472"/>
    <w:rsid w:val="698C6058"/>
    <w:rsid w:val="69925B41"/>
    <w:rsid w:val="69976019"/>
    <w:rsid w:val="69A34249"/>
    <w:rsid w:val="69A60CBC"/>
    <w:rsid w:val="69B339A6"/>
    <w:rsid w:val="69B60409"/>
    <w:rsid w:val="69B665F3"/>
    <w:rsid w:val="69C932A9"/>
    <w:rsid w:val="69CD2E33"/>
    <w:rsid w:val="69CE2C9D"/>
    <w:rsid w:val="69DC4528"/>
    <w:rsid w:val="69E74B20"/>
    <w:rsid w:val="69EB5FCC"/>
    <w:rsid w:val="69F63188"/>
    <w:rsid w:val="6A063C23"/>
    <w:rsid w:val="6A0B175E"/>
    <w:rsid w:val="6A0B1C3A"/>
    <w:rsid w:val="6A101F75"/>
    <w:rsid w:val="6A1874E7"/>
    <w:rsid w:val="6A282B66"/>
    <w:rsid w:val="6A283620"/>
    <w:rsid w:val="6A2C7939"/>
    <w:rsid w:val="6A2E0E19"/>
    <w:rsid w:val="6A2F393C"/>
    <w:rsid w:val="6A2F4319"/>
    <w:rsid w:val="6A4457DE"/>
    <w:rsid w:val="6A5275EB"/>
    <w:rsid w:val="6A527D31"/>
    <w:rsid w:val="6A5705B3"/>
    <w:rsid w:val="6A6E1B96"/>
    <w:rsid w:val="6A732C43"/>
    <w:rsid w:val="6A8B0B65"/>
    <w:rsid w:val="6A920AE0"/>
    <w:rsid w:val="6ABB3B40"/>
    <w:rsid w:val="6AC169C2"/>
    <w:rsid w:val="6AC93F8C"/>
    <w:rsid w:val="6ACD160A"/>
    <w:rsid w:val="6AD03B37"/>
    <w:rsid w:val="6AD1121C"/>
    <w:rsid w:val="6ADB2ADD"/>
    <w:rsid w:val="6AED7485"/>
    <w:rsid w:val="6AF666D5"/>
    <w:rsid w:val="6B070AB1"/>
    <w:rsid w:val="6B112020"/>
    <w:rsid w:val="6B11594C"/>
    <w:rsid w:val="6B172A8A"/>
    <w:rsid w:val="6B2E7032"/>
    <w:rsid w:val="6B3413B3"/>
    <w:rsid w:val="6B524ECB"/>
    <w:rsid w:val="6B537D47"/>
    <w:rsid w:val="6B60464B"/>
    <w:rsid w:val="6B681EB2"/>
    <w:rsid w:val="6B696FA9"/>
    <w:rsid w:val="6B6E47D9"/>
    <w:rsid w:val="6B741DC4"/>
    <w:rsid w:val="6B7864BA"/>
    <w:rsid w:val="6B7C0E6F"/>
    <w:rsid w:val="6B7C7DA8"/>
    <w:rsid w:val="6B80359D"/>
    <w:rsid w:val="6B8A1407"/>
    <w:rsid w:val="6BA60B51"/>
    <w:rsid w:val="6BA63872"/>
    <w:rsid w:val="6BA65103"/>
    <w:rsid w:val="6BC80A7B"/>
    <w:rsid w:val="6BDE3149"/>
    <w:rsid w:val="6BE115FE"/>
    <w:rsid w:val="6BFB32BA"/>
    <w:rsid w:val="6BFD6BB7"/>
    <w:rsid w:val="6C026D64"/>
    <w:rsid w:val="6C0B593A"/>
    <w:rsid w:val="6C0E6B4D"/>
    <w:rsid w:val="6C2209E2"/>
    <w:rsid w:val="6C34211A"/>
    <w:rsid w:val="6C3727E2"/>
    <w:rsid w:val="6C3C5DF6"/>
    <w:rsid w:val="6C3F714D"/>
    <w:rsid w:val="6C6B5BD5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D6702A"/>
    <w:rsid w:val="6CDA72FE"/>
    <w:rsid w:val="6CDB5A2A"/>
    <w:rsid w:val="6CE756D0"/>
    <w:rsid w:val="6CF0378A"/>
    <w:rsid w:val="6D040C7A"/>
    <w:rsid w:val="6D06792F"/>
    <w:rsid w:val="6D0A162F"/>
    <w:rsid w:val="6D134407"/>
    <w:rsid w:val="6D1906F5"/>
    <w:rsid w:val="6D192E27"/>
    <w:rsid w:val="6D232C90"/>
    <w:rsid w:val="6D2D1A8D"/>
    <w:rsid w:val="6D2D557D"/>
    <w:rsid w:val="6D3E2D99"/>
    <w:rsid w:val="6D3F1317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24346"/>
    <w:rsid w:val="6DB32EBA"/>
    <w:rsid w:val="6DBA7E68"/>
    <w:rsid w:val="6DBF0696"/>
    <w:rsid w:val="6DD05B97"/>
    <w:rsid w:val="6DD23DE9"/>
    <w:rsid w:val="6DD62CFA"/>
    <w:rsid w:val="6DDA6949"/>
    <w:rsid w:val="6DE16B73"/>
    <w:rsid w:val="6DE61C05"/>
    <w:rsid w:val="6DEC5AC7"/>
    <w:rsid w:val="6E02368D"/>
    <w:rsid w:val="6E120B9E"/>
    <w:rsid w:val="6E1942EC"/>
    <w:rsid w:val="6E236350"/>
    <w:rsid w:val="6E2573F2"/>
    <w:rsid w:val="6E2809EB"/>
    <w:rsid w:val="6E2B11E4"/>
    <w:rsid w:val="6E353B30"/>
    <w:rsid w:val="6E353E42"/>
    <w:rsid w:val="6E447E57"/>
    <w:rsid w:val="6E4A2B2A"/>
    <w:rsid w:val="6E5D6250"/>
    <w:rsid w:val="6E7A5781"/>
    <w:rsid w:val="6EA85D0E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31557"/>
    <w:rsid w:val="6EF632B9"/>
    <w:rsid w:val="6EFB2B08"/>
    <w:rsid w:val="6EFB6912"/>
    <w:rsid w:val="6EFC3116"/>
    <w:rsid w:val="6F0303A8"/>
    <w:rsid w:val="6F0C63D7"/>
    <w:rsid w:val="6F0E6EA0"/>
    <w:rsid w:val="6F0E7B8B"/>
    <w:rsid w:val="6F24560B"/>
    <w:rsid w:val="6F250967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930093"/>
    <w:rsid w:val="6F9C466F"/>
    <w:rsid w:val="6FA70BA7"/>
    <w:rsid w:val="6FA73D05"/>
    <w:rsid w:val="6FAE414C"/>
    <w:rsid w:val="6FAF1C9C"/>
    <w:rsid w:val="6FB35B84"/>
    <w:rsid w:val="6FB3A942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6FFBF45B"/>
    <w:rsid w:val="6FFF4135"/>
    <w:rsid w:val="70051FC3"/>
    <w:rsid w:val="700C4781"/>
    <w:rsid w:val="70105602"/>
    <w:rsid w:val="701168CC"/>
    <w:rsid w:val="70134DF9"/>
    <w:rsid w:val="70160D3D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C2A4B"/>
    <w:rsid w:val="712F05D2"/>
    <w:rsid w:val="712F4884"/>
    <w:rsid w:val="7130470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42565"/>
    <w:rsid w:val="71956D10"/>
    <w:rsid w:val="719B00F1"/>
    <w:rsid w:val="719E1803"/>
    <w:rsid w:val="71D01A82"/>
    <w:rsid w:val="71D477D6"/>
    <w:rsid w:val="71D91572"/>
    <w:rsid w:val="71E329B9"/>
    <w:rsid w:val="71E36CE7"/>
    <w:rsid w:val="71F16E28"/>
    <w:rsid w:val="71FFF305"/>
    <w:rsid w:val="721459A1"/>
    <w:rsid w:val="721E6A2A"/>
    <w:rsid w:val="72365B47"/>
    <w:rsid w:val="723D7D7D"/>
    <w:rsid w:val="724A5D81"/>
    <w:rsid w:val="72516EA0"/>
    <w:rsid w:val="725415A5"/>
    <w:rsid w:val="72544005"/>
    <w:rsid w:val="725D01F5"/>
    <w:rsid w:val="7285513E"/>
    <w:rsid w:val="728576DC"/>
    <w:rsid w:val="72A41103"/>
    <w:rsid w:val="72BD4DA1"/>
    <w:rsid w:val="72C20714"/>
    <w:rsid w:val="72C96AFD"/>
    <w:rsid w:val="72C96D9C"/>
    <w:rsid w:val="72CE2959"/>
    <w:rsid w:val="72D6589E"/>
    <w:rsid w:val="72DF2D54"/>
    <w:rsid w:val="72E74987"/>
    <w:rsid w:val="72F13359"/>
    <w:rsid w:val="72F36F06"/>
    <w:rsid w:val="72F42BA6"/>
    <w:rsid w:val="72F96FC3"/>
    <w:rsid w:val="72FA494D"/>
    <w:rsid w:val="730243B3"/>
    <w:rsid w:val="731044FE"/>
    <w:rsid w:val="7321765C"/>
    <w:rsid w:val="73337CF8"/>
    <w:rsid w:val="73391467"/>
    <w:rsid w:val="734202CC"/>
    <w:rsid w:val="73486B09"/>
    <w:rsid w:val="734A78BD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1F56"/>
    <w:rsid w:val="73872ED1"/>
    <w:rsid w:val="738F1601"/>
    <w:rsid w:val="73992BDC"/>
    <w:rsid w:val="73A40A5F"/>
    <w:rsid w:val="73A47EFB"/>
    <w:rsid w:val="73AA0B80"/>
    <w:rsid w:val="73BA1774"/>
    <w:rsid w:val="73BD0ECB"/>
    <w:rsid w:val="73C064F4"/>
    <w:rsid w:val="73C42BD2"/>
    <w:rsid w:val="73C4341B"/>
    <w:rsid w:val="73D87220"/>
    <w:rsid w:val="73E16E48"/>
    <w:rsid w:val="73F77ED0"/>
    <w:rsid w:val="73F79C6A"/>
    <w:rsid w:val="73FD1FE1"/>
    <w:rsid w:val="74097130"/>
    <w:rsid w:val="741920B7"/>
    <w:rsid w:val="741E030B"/>
    <w:rsid w:val="74274051"/>
    <w:rsid w:val="74394C16"/>
    <w:rsid w:val="74397B64"/>
    <w:rsid w:val="744C4300"/>
    <w:rsid w:val="744E2606"/>
    <w:rsid w:val="74522ADD"/>
    <w:rsid w:val="745B0651"/>
    <w:rsid w:val="74697489"/>
    <w:rsid w:val="747977F5"/>
    <w:rsid w:val="74885903"/>
    <w:rsid w:val="74940159"/>
    <w:rsid w:val="749B420B"/>
    <w:rsid w:val="74A305F8"/>
    <w:rsid w:val="74A7162A"/>
    <w:rsid w:val="74AE732D"/>
    <w:rsid w:val="74C16E5F"/>
    <w:rsid w:val="74E21D75"/>
    <w:rsid w:val="74EA7314"/>
    <w:rsid w:val="74F308E7"/>
    <w:rsid w:val="750E6F22"/>
    <w:rsid w:val="750F1FCC"/>
    <w:rsid w:val="751550D8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695BFE"/>
    <w:rsid w:val="757712F8"/>
    <w:rsid w:val="757C09D4"/>
    <w:rsid w:val="75867A8C"/>
    <w:rsid w:val="75A42F6D"/>
    <w:rsid w:val="75A77B96"/>
    <w:rsid w:val="75AF5CF5"/>
    <w:rsid w:val="75D65EDE"/>
    <w:rsid w:val="75D82A72"/>
    <w:rsid w:val="75E0573C"/>
    <w:rsid w:val="75E746A2"/>
    <w:rsid w:val="75F23D58"/>
    <w:rsid w:val="75F26586"/>
    <w:rsid w:val="75F7301D"/>
    <w:rsid w:val="75F87521"/>
    <w:rsid w:val="75FA0B70"/>
    <w:rsid w:val="75FC11D4"/>
    <w:rsid w:val="76047A8D"/>
    <w:rsid w:val="760E6B9C"/>
    <w:rsid w:val="76104166"/>
    <w:rsid w:val="761E370C"/>
    <w:rsid w:val="761F36C5"/>
    <w:rsid w:val="762D665B"/>
    <w:rsid w:val="76381FAB"/>
    <w:rsid w:val="76645AE7"/>
    <w:rsid w:val="766A66DC"/>
    <w:rsid w:val="766D37EB"/>
    <w:rsid w:val="766F196A"/>
    <w:rsid w:val="76805D33"/>
    <w:rsid w:val="768B68EA"/>
    <w:rsid w:val="76B76559"/>
    <w:rsid w:val="76C1748B"/>
    <w:rsid w:val="76CB66C2"/>
    <w:rsid w:val="76D71B2F"/>
    <w:rsid w:val="76D72961"/>
    <w:rsid w:val="76DA28C5"/>
    <w:rsid w:val="76DD49B5"/>
    <w:rsid w:val="76DE63E9"/>
    <w:rsid w:val="76E97048"/>
    <w:rsid w:val="76F10225"/>
    <w:rsid w:val="76F52A70"/>
    <w:rsid w:val="76F84648"/>
    <w:rsid w:val="76FF4AF8"/>
    <w:rsid w:val="77040F13"/>
    <w:rsid w:val="77267F29"/>
    <w:rsid w:val="772B0E02"/>
    <w:rsid w:val="772B14B3"/>
    <w:rsid w:val="77361D8F"/>
    <w:rsid w:val="773F6B8B"/>
    <w:rsid w:val="77685CA5"/>
    <w:rsid w:val="777164C4"/>
    <w:rsid w:val="777F1F8A"/>
    <w:rsid w:val="778D3DC9"/>
    <w:rsid w:val="778F53C8"/>
    <w:rsid w:val="779714BF"/>
    <w:rsid w:val="779F1CFE"/>
    <w:rsid w:val="77A340AF"/>
    <w:rsid w:val="77C03ECA"/>
    <w:rsid w:val="77D7281E"/>
    <w:rsid w:val="77DF496F"/>
    <w:rsid w:val="77EFA966"/>
    <w:rsid w:val="77FC7EA1"/>
    <w:rsid w:val="77FF1A8B"/>
    <w:rsid w:val="78030BB3"/>
    <w:rsid w:val="780C4D7B"/>
    <w:rsid w:val="78183D62"/>
    <w:rsid w:val="781E5BB3"/>
    <w:rsid w:val="78291A3D"/>
    <w:rsid w:val="78376779"/>
    <w:rsid w:val="7840644C"/>
    <w:rsid w:val="784844F0"/>
    <w:rsid w:val="78646F4B"/>
    <w:rsid w:val="78665DAD"/>
    <w:rsid w:val="78684E9D"/>
    <w:rsid w:val="78693128"/>
    <w:rsid w:val="786B0114"/>
    <w:rsid w:val="788526FC"/>
    <w:rsid w:val="7892385A"/>
    <w:rsid w:val="789325A8"/>
    <w:rsid w:val="789C5CC2"/>
    <w:rsid w:val="78B22689"/>
    <w:rsid w:val="78B55E40"/>
    <w:rsid w:val="78BD011C"/>
    <w:rsid w:val="78CF013E"/>
    <w:rsid w:val="78D41BC4"/>
    <w:rsid w:val="78D7123D"/>
    <w:rsid w:val="78E45DC5"/>
    <w:rsid w:val="78E74107"/>
    <w:rsid w:val="78E829E1"/>
    <w:rsid w:val="78FC0DB2"/>
    <w:rsid w:val="79057EFA"/>
    <w:rsid w:val="7911492F"/>
    <w:rsid w:val="792546E2"/>
    <w:rsid w:val="79254E6A"/>
    <w:rsid w:val="79292660"/>
    <w:rsid w:val="79424D71"/>
    <w:rsid w:val="794A4ACB"/>
    <w:rsid w:val="79626993"/>
    <w:rsid w:val="7969335E"/>
    <w:rsid w:val="796B46FE"/>
    <w:rsid w:val="79707EB6"/>
    <w:rsid w:val="79717F39"/>
    <w:rsid w:val="797A3158"/>
    <w:rsid w:val="797D3074"/>
    <w:rsid w:val="79936416"/>
    <w:rsid w:val="79952E86"/>
    <w:rsid w:val="79956DF5"/>
    <w:rsid w:val="799F18BD"/>
    <w:rsid w:val="79A55046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3A5233"/>
    <w:rsid w:val="7A495661"/>
    <w:rsid w:val="7A4A2D6F"/>
    <w:rsid w:val="7A4D6899"/>
    <w:rsid w:val="7A5868E1"/>
    <w:rsid w:val="7A654EF0"/>
    <w:rsid w:val="7A755AD2"/>
    <w:rsid w:val="7A7F5660"/>
    <w:rsid w:val="7A827221"/>
    <w:rsid w:val="7A853344"/>
    <w:rsid w:val="7A9149C4"/>
    <w:rsid w:val="7A930150"/>
    <w:rsid w:val="7A972572"/>
    <w:rsid w:val="7A9C1B3C"/>
    <w:rsid w:val="7AA253BA"/>
    <w:rsid w:val="7AA34AEB"/>
    <w:rsid w:val="7ADE6CE8"/>
    <w:rsid w:val="7AEB63DD"/>
    <w:rsid w:val="7AF32198"/>
    <w:rsid w:val="7B0B6E35"/>
    <w:rsid w:val="7B17071C"/>
    <w:rsid w:val="7B172610"/>
    <w:rsid w:val="7B2923C0"/>
    <w:rsid w:val="7B2D4E59"/>
    <w:rsid w:val="7B3E404B"/>
    <w:rsid w:val="7B3E6F0C"/>
    <w:rsid w:val="7B487574"/>
    <w:rsid w:val="7B4A1B71"/>
    <w:rsid w:val="7B4C6A96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D7656F"/>
    <w:rsid w:val="7BDF3BB5"/>
    <w:rsid w:val="7BE85532"/>
    <w:rsid w:val="7BED1AFB"/>
    <w:rsid w:val="7BF521EB"/>
    <w:rsid w:val="7BF65A76"/>
    <w:rsid w:val="7C090308"/>
    <w:rsid w:val="7C1526D4"/>
    <w:rsid w:val="7C233245"/>
    <w:rsid w:val="7C257F05"/>
    <w:rsid w:val="7C2B29AB"/>
    <w:rsid w:val="7C4E781C"/>
    <w:rsid w:val="7C521E57"/>
    <w:rsid w:val="7C563743"/>
    <w:rsid w:val="7C5B29CF"/>
    <w:rsid w:val="7C6D5ED6"/>
    <w:rsid w:val="7C7F0437"/>
    <w:rsid w:val="7C875361"/>
    <w:rsid w:val="7C89082E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3E5ADD"/>
    <w:rsid w:val="7D413779"/>
    <w:rsid w:val="7D482750"/>
    <w:rsid w:val="7D4E1D3F"/>
    <w:rsid w:val="7D4F55E2"/>
    <w:rsid w:val="7D5B5F94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8B6855"/>
    <w:rsid w:val="7D9B3509"/>
    <w:rsid w:val="7D9F0D2B"/>
    <w:rsid w:val="7D9F2B6E"/>
    <w:rsid w:val="7D9F5C26"/>
    <w:rsid w:val="7D9F62FE"/>
    <w:rsid w:val="7DA60DF8"/>
    <w:rsid w:val="7DB4614C"/>
    <w:rsid w:val="7DBF1D7F"/>
    <w:rsid w:val="7DC9253D"/>
    <w:rsid w:val="7DE37918"/>
    <w:rsid w:val="7DE750E1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41672B"/>
    <w:rsid w:val="7E564D83"/>
    <w:rsid w:val="7E5D4B58"/>
    <w:rsid w:val="7E691AAA"/>
    <w:rsid w:val="7E755EAD"/>
    <w:rsid w:val="7E784DF4"/>
    <w:rsid w:val="7E7E54AA"/>
    <w:rsid w:val="7E7F6B70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86BAE"/>
    <w:rsid w:val="7F7A36CC"/>
    <w:rsid w:val="7F7F49FD"/>
    <w:rsid w:val="7F8117EC"/>
    <w:rsid w:val="7F817243"/>
    <w:rsid w:val="7F890CD0"/>
    <w:rsid w:val="7F8F3A6E"/>
    <w:rsid w:val="7F9E0549"/>
    <w:rsid w:val="7FA42036"/>
    <w:rsid w:val="7FC9636E"/>
    <w:rsid w:val="7FCD746C"/>
    <w:rsid w:val="7FD81D4E"/>
    <w:rsid w:val="7FE02A21"/>
    <w:rsid w:val="7FEE41BF"/>
    <w:rsid w:val="7FF47517"/>
    <w:rsid w:val="7FF6033D"/>
    <w:rsid w:val="7FF7676B"/>
    <w:rsid w:val="7FFB6B53"/>
    <w:rsid w:val="7FFF6D18"/>
    <w:rsid w:val="AF5F3213"/>
    <w:rsid w:val="BD775988"/>
    <w:rsid w:val="BDDF8850"/>
    <w:rsid w:val="CEFE1B0F"/>
    <w:rsid w:val="D1DB143C"/>
    <w:rsid w:val="D8DBDFCB"/>
    <w:rsid w:val="D91B62D2"/>
    <w:rsid w:val="DF3D31A9"/>
    <w:rsid w:val="DF7FB6CE"/>
    <w:rsid w:val="DFB51B1F"/>
    <w:rsid w:val="DFBFE82A"/>
    <w:rsid w:val="DFCFE88C"/>
    <w:rsid w:val="EB7E5AE3"/>
    <w:rsid w:val="ED7FAE99"/>
    <w:rsid w:val="F6F3A55A"/>
    <w:rsid w:val="FBFD3E1C"/>
    <w:rsid w:val="FF6AD12C"/>
    <w:rsid w:val="FFBDF923"/>
    <w:rsid w:val="FFEFC4A9"/>
    <w:rsid w:val="FFEFFDBD"/>
    <w:rsid w:val="FFFCE37D"/>
    <w:rsid w:val="FFFFC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7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17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5"/>
    <w:qFormat/>
    <w:uiPriority w:val="0"/>
    <w:pPr>
      <w:widowControl w:val="0"/>
      <w:numPr>
        <w:ilvl w:val="0"/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paragraph" w:customStyle="1" w:styleId="128">
    <w:name w:val="Patent"/>
    <w:basedOn w:val="129"/>
    <w:qFormat/>
    <w:uiPriority w:val="0"/>
    <w:pPr>
      <w:numPr>
        <w:ilvl w:val="0"/>
        <w:numId w:val="10"/>
      </w:numPr>
      <w:textAlignment w:val="auto"/>
    </w:pPr>
  </w:style>
  <w:style w:type="paragraph" w:customStyle="1" w:styleId="129">
    <w:name w:val="Pat Appl"/>
    <w:basedOn w:val="130"/>
    <w:qFormat/>
    <w:uiPriority w:val="0"/>
    <w:pPr>
      <w:tabs>
        <w:tab w:val="left" w:pos="1080"/>
      </w:tabs>
      <w:spacing w:line="360" w:lineRule="auto"/>
    </w:pPr>
    <w:rPr>
      <w:rFonts w:ascii="Times New Roman" w:hAnsi="Times New Roman"/>
      <w:szCs w:val="24"/>
    </w:rPr>
  </w:style>
  <w:style w:type="paragraph" w:customStyle="1" w:styleId="130">
    <w:name w:val="New Paragraph Style"/>
    <w:basedOn w:val="1"/>
    <w:qFormat/>
    <w:uiPriority w:val="0"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131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2702</Words>
  <Characters>15407</Characters>
  <Lines>128</Lines>
  <Paragraphs>36</Paragraphs>
  <TotalTime>34</TotalTime>
  <ScaleCrop>false</ScaleCrop>
  <LinksUpToDate>false</LinksUpToDate>
  <CharactersWithSpaces>18073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2021-08-08T03:57:00Z</dcterms:created>
  <dc:creator>ZTE</dc:creator>
  <cp:lastModifiedBy>ZTE-Yang Ling</cp:lastModifiedBy>
  <cp:lastPrinted>2018-02-19T23:29:00Z</cp:lastPrinted>
  <dcterms:modified xsi:type="dcterms:W3CDTF">2022-02-14T06:56:55Z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B9146FC4BCE7493FB9747BE1CF687F2B</vt:lpwstr>
  </property>
</Properties>
</file>